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8E8B" w14:textId="77777777" w:rsidR="0057018B" w:rsidRPr="0057018B" w:rsidRDefault="0057018B" w:rsidP="0057018B">
      <w:pPr>
        <w:pBdr>
          <w:top w:val="single" w:sz="24" w:space="1" w:color="405F64"/>
          <w:bottom w:val="single" w:sz="24" w:space="1" w:color="405F64"/>
        </w:pBdr>
        <w:shd w:val="clear" w:color="auto" w:fill="405F64"/>
        <w:suppressAutoHyphens/>
        <w:spacing w:after="500" w:line="500" w:lineRule="atLeast"/>
        <w:contextualSpacing/>
        <w:jc w:val="center"/>
        <w:rPr>
          <w:rFonts w:ascii="Segoe UI" w:eastAsia="MS Gothic" w:hAnsi="Segoe UI" w:cs="Segoe UI"/>
          <w:caps/>
          <w:color w:val="FFFFFF"/>
          <w:kern w:val="28"/>
          <w:sz w:val="40"/>
          <w:szCs w:val="34"/>
          <w14:ligatures w14:val="none"/>
        </w:rPr>
      </w:pPr>
      <w:r w:rsidRPr="0057018B">
        <w:rPr>
          <w:rFonts w:ascii="Segoe UI" w:eastAsia="MS Gothic" w:hAnsi="Segoe UI" w:cs="Segoe UI"/>
          <w:caps/>
          <w:color w:val="FFFFFF"/>
          <w:kern w:val="28"/>
          <w:sz w:val="40"/>
          <w:szCs w:val="34"/>
          <w14:ligatures w14:val="none"/>
        </w:rPr>
        <w:t xml:space="preserve">BREEAM infrastructure i TOTALentreprisekontrakter </w:t>
      </w:r>
    </w:p>
    <w:p w14:paraId="333B5592" w14:textId="434231AC" w:rsidR="0057018B" w:rsidRPr="0057018B" w:rsidRDefault="008653BC" w:rsidP="0057018B">
      <w:pPr>
        <w:keepNext/>
        <w:keepLines/>
        <w:pBdr>
          <w:top w:val="single" w:sz="24" w:space="1" w:color="568087"/>
          <w:bottom w:val="single" w:sz="24" w:space="1" w:color="568087"/>
        </w:pBdr>
        <w:shd w:val="clear" w:color="auto" w:fill="568087"/>
        <w:suppressAutoHyphens/>
        <w:spacing w:before="360" w:after="60" w:line="240" w:lineRule="atLeast"/>
        <w:ind w:left="794" w:hanging="794"/>
        <w:contextualSpacing/>
        <w:outlineLvl w:val="0"/>
        <w:rPr>
          <w:rFonts w:ascii="Palatino Linotype" w:eastAsia="MS Gothic" w:hAnsi="Palatino Linotype" w:cs="Times New Roman"/>
          <w:b/>
          <w:bCs/>
          <w:caps/>
          <w:color w:val="FFFFFF"/>
          <w:kern w:val="0"/>
          <w:sz w:val="23"/>
          <w:szCs w:val="23"/>
          <w14:ligatures w14:val="none"/>
        </w:rPr>
      </w:pPr>
      <w:bookmarkStart w:id="0" w:name="_Hlk176781191"/>
      <w:r>
        <w:rPr>
          <w:rFonts w:ascii="Palatino Linotype" w:eastAsia="MS Gothic" w:hAnsi="Palatino Linotype" w:cs="Times New Roman"/>
          <w:b/>
          <w:bCs/>
          <w:caps/>
          <w:color w:val="FFFFFF"/>
          <w:kern w:val="0"/>
          <w:sz w:val="23"/>
          <w:szCs w:val="23"/>
          <w14:ligatures w14:val="none"/>
        </w:rPr>
        <w:t>1</w:t>
      </w:r>
      <w:r>
        <w:rPr>
          <w:rFonts w:ascii="Palatino Linotype" w:eastAsia="MS Gothic" w:hAnsi="Palatino Linotype" w:cs="Times New Roman"/>
          <w:b/>
          <w:bCs/>
          <w:caps/>
          <w:color w:val="FFFFFF"/>
          <w:kern w:val="0"/>
          <w:sz w:val="23"/>
          <w:szCs w:val="23"/>
          <w14:ligatures w14:val="none"/>
        </w:rPr>
        <w:tab/>
      </w:r>
      <w:r w:rsidR="0057018B" w:rsidRPr="0057018B">
        <w:rPr>
          <w:rFonts w:ascii="Palatino Linotype" w:eastAsia="MS Gothic" w:hAnsi="Palatino Linotype" w:cs="Times New Roman"/>
          <w:b/>
          <w:bCs/>
          <w:caps/>
          <w:color w:val="FFFFFF"/>
          <w:kern w:val="0"/>
          <w:sz w:val="23"/>
          <w:szCs w:val="23"/>
          <w14:ligatures w14:val="none"/>
        </w:rPr>
        <w:t>Innledning</w:t>
      </w:r>
    </w:p>
    <w:p w14:paraId="064E8B3F"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BREEAM Infrastructure er en sertifiseringsordning for å dokumentere bærekraftige valg og bærekraftarbeid i infrastrukturprosjekter. Sertifiseringsordningen har som formål å fremme bærekraftige løsninger og kvaliteter, og kan for eksempel brukes i prosjekter som veier, jernbane og broer.</w:t>
      </w:r>
    </w:p>
    <w:p w14:paraId="66B461EF" w14:textId="2AD7F0C3" w:rsidR="0038110F" w:rsidRPr="0038110F"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Det er det britiske forskningsinstituttet </w:t>
      </w:r>
      <w:proofErr w:type="spellStart"/>
      <w:r w:rsidRPr="0057018B">
        <w:rPr>
          <w:rFonts w:ascii="Palatino Linotype" w:eastAsia="Palatino Linotype" w:hAnsi="Palatino Linotype" w:cs="Verdana"/>
          <w:kern w:val="0"/>
          <w:sz w:val="20"/>
          <w:szCs w:val="20"/>
          <w14:ligatures w14:val="none"/>
        </w:rPr>
        <w:t>Building</w:t>
      </w:r>
      <w:proofErr w:type="spellEnd"/>
      <w:r w:rsidRPr="0057018B">
        <w:rPr>
          <w:rFonts w:ascii="Palatino Linotype" w:eastAsia="Palatino Linotype" w:hAnsi="Palatino Linotype" w:cs="Verdana"/>
          <w:kern w:val="0"/>
          <w:sz w:val="20"/>
          <w:szCs w:val="20"/>
          <w14:ligatures w14:val="none"/>
        </w:rPr>
        <w:t xml:space="preserve"> Research Establishment (BRE) som eier sertifiseringsordningen BREEAM Infrastructure. I Norge er Grønn Byggallianse sin rolle å informere om sertifiseringsordningen og bistå med å arrangere kurs. </w:t>
      </w:r>
      <w:r w:rsidRPr="002063A1">
        <w:rPr>
          <w:rFonts w:ascii="Palatino Linotype" w:eastAsia="Palatino Linotype" w:hAnsi="Palatino Linotype" w:cs="Verdana"/>
          <w:kern w:val="0"/>
          <w:sz w:val="20"/>
          <w:szCs w:val="20"/>
          <w14:ligatures w14:val="none"/>
        </w:rPr>
        <w:t xml:space="preserve">For å senke brukerterskelen er det utarbeidet en veileder for hvordan BREEAM Infrastructure </w:t>
      </w:r>
      <w:r w:rsidRPr="0038110F">
        <w:rPr>
          <w:rFonts w:ascii="Palatino Linotype" w:eastAsia="Palatino Linotype" w:hAnsi="Palatino Linotype" w:cs="Verdana"/>
          <w:kern w:val="0"/>
          <w:sz w:val="20"/>
          <w:szCs w:val="20"/>
          <w14:ligatures w14:val="none"/>
        </w:rPr>
        <w:t xml:space="preserve">kan brukes; </w:t>
      </w:r>
      <w:hyperlink r:id="rId10" w:history="1">
        <w:r w:rsidR="0038110F" w:rsidRPr="0038110F">
          <w:rPr>
            <w:rFonts w:ascii="Palatino Linotype" w:hAnsi="Palatino Linotype"/>
            <w:color w:val="0000FF"/>
            <w:sz w:val="20"/>
            <w:szCs w:val="20"/>
            <w:u w:val="single"/>
          </w:rPr>
          <w:t>BREEAM Infrastructure – Veileder 2023</w:t>
        </w:r>
      </w:hyperlink>
      <w:r w:rsidR="0038110F">
        <w:rPr>
          <w:rFonts w:ascii="Palatino Linotype" w:hAnsi="Palatino Linotype"/>
          <w:sz w:val="20"/>
          <w:szCs w:val="20"/>
        </w:rPr>
        <w:t>.</w:t>
      </w:r>
    </w:p>
    <w:p w14:paraId="637139CE"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Denne </w:t>
      </w:r>
      <w:proofErr w:type="spellStart"/>
      <w:r w:rsidRPr="0057018B">
        <w:rPr>
          <w:rFonts w:ascii="Palatino Linotype" w:eastAsia="Palatino Linotype" w:hAnsi="Palatino Linotype" w:cs="Verdana"/>
          <w:kern w:val="0"/>
          <w:sz w:val="20"/>
          <w:szCs w:val="20"/>
          <w14:ligatures w14:val="none"/>
        </w:rPr>
        <w:t>kontraktsveilederen</w:t>
      </w:r>
      <w:proofErr w:type="spellEnd"/>
      <w:r w:rsidRPr="0057018B">
        <w:rPr>
          <w:rFonts w:ascii="Palatino Linotype" w:eastAsia="Palatino Linotype" w:hAnsi="Palatino Linotype" w:cs="Verdana"/>
          <w:kern w:val="0"/>
          <w:sz w:val="20"/>
          <w:szCs w:val="20"/>
          <w14:ligatures w14:val="none"/>
        </w:rPr>
        <w:t xml:space="preserve"> har som formål å gjøre det enklere for aktørene å innarbeide BREEAM-ytelsen i partenes kontrakter. BREEAM-ytelsen skal være en integrert del av prosjektet på nivå med alle andre avtalte ytelser, og det oppfordres til at partene binder seg til spesifikke bærekraftsområder som sikrer bedre måloppnåelse for prosjektet. Grønn Byggallianse og Arntzen de Besche har derfor utarbeidet et forslag til </w:t>
      </w:r>
      <w:proofErr w:type="spellStart"/>
      <w:r w:rsidRPr="0057018B">
        <w:rPr>
          <w:rFonts w:ascii="Palatino Linotype" w:eastAsia="Palatino Linotype" w:hAnsi="Palatino Linotype" w:cs="Verdana"/>
          <w:kern w:val="0"/>
          <w:sz w:val="20"/>
          <w:szCs w:val="20"/>
          <w14:ligatures w14:val="none"/>
        </w:rPr>
        <w:t>kontraktsbestemmelser</w:t>
      </w:r>
      <w:proofErr w:type="spellEnd"/>
      <w:r w:rsidRPr="0057018B">
        <w:rPr>
          <w:rFonts w:ascii="Palatino Linotype" w:eastAsia="Palatino Linotype" w:hAnsi="Palatino Linotype" w:cs="Verdana"/>
          <w:kern w:val="0"/>
          <w:sz w:val="20"/>
          <w:szCs w:val="20"/>
          <w14:ligatures w14:val="none"/>
        </w:rPr>
        <w:t xml:space="preserve"> byggherrer og entreprenører kan bruke i sine totalentreprisekontrakter. </w:t>
      </w:r>
    </w:p>
    <w:p w14:paraId="09C381FC"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En stor takk til entrepriseavdelingen i Arntzen de Besche som har bidratt med sin fagekspertise på entrepriserett. Grønn Byggallianse er redaktør for veilederen. </w:t>
      </w:r>
    </w:p>
    <w:p w14:paraId="2C5E5479" w14:textId="5E13E882"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1" w:name="_Ref65578262"/>
      <w:r>
        <w:rPr>
          <w:rFonts w:ascii="Palatino Linotype" w:eastAsia="MS Gothic" w:hAnsi="Palatino Linotype" w:cs="Times New Roman"/>
          <w:b/>
          <w:bCs/>
          <w:kern w:val="0"/>
          <w:sz w:val="20"/>
          <w:szCs w:val="26"/>
          <w14:ligatures w14:val="none"/>
        </w:rPr>
        <w:t>1.1</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Bruk av veilederen</w:t>
      </w:r>
      <w:bookmarkEnd w:id="1"/>
      <w:r w:rsidR="0057018B" w:rsidRPr="0057018B">
        <w:rPr>
          <w:rFonts w:ascii="Palatino Linotype" w:eastAsia="MS Gothic" w:hAnsi="Palatino Linotype" w:cs="Times New Roman"/>
          <w:b/>
          <w:bCs/>
          <w:kern w:val="0"/>
          <w:sz w:val="20"/>
          <w:szCs w:val="26"/>
          <w14:ligatures w14:val="none"/>
        </w:rPr>
        <w:t xml:space="preserve"> </w:t>
      </w:r>
    </w:p>
    <w:p w14:paraId="39DB7B14"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Både nye infrastrukturprosjekter og SDV-kontrakter (Service-, drift- og vedlikeholdskontrakter) kan sertifiseres etter BREEAM Infrastructure. Det er også aktuelt å bruke sertifiseringsordningen på både totalentrepriser og utførelsesentrepriser. Denne veilederen er utarbeidet med tanke på sertifisering av nye infrastrukturprosjekter som utføres som totalentrepriser. Forslagene til </w:t>
      </w:r>
      <w:proofErr w:type="spellStart"/>
      <w:r w:rsidRPr="0057018B">
        <w:rPr>
          <w:rFonts w:ascii="Palatino Linotype" w:eastAsia="Palatino Linotype" w:hAnsi="Palatino Linotype" w:cs="Verdana"/>
          <w:kern w:val="0"/>
          <w:sz w:val="20"/>
          <w:szCs w:val="20"/>
          <w14:ligatures w14:val="none"/>
        </w:rPr>
        <w:t>kontraktsbestemmelser</w:t>
      </w:r>
      <w:proofErr w:type="spellEnd"/>
      <w:r w:rsidRPr="0057018B">
        <w:rPr>
          <w:rFonts w:ascii="Palatino Linotype" w:eastAsia="Palatino Linotype" w:hAnsi="Palatino Linotype" w:cs="Verdana"/>
          <w:kern w:val="0"/>
          <w:sz w:val="20"/>
          <w:szCs w:val="20"/>
          <w14:ligatures w14:val="none"/>
        </w:rPr>
        <w:t xml:space="preserve"> er utarbeidet for kontrakter mellom byggherre og totalentreprenør som benytter NS 8407:2011 </w:t>
      </w:r>
      <w:r w:rsidRPr="0057018B">
        <w:rPr>
          <w:rFonts w:ascii="Palatino Linotype" w:eastAsia="Palatino Linotype" w:hAnsi="Palatino Linotype" w:cs="Verdana"/>
          <w:iCs/>
          <w:kern w:val="0"/>
          <w:sz w:val="20"/>
          <w:szCs w:val="20"/>
          <w14:ligatures w14:val="none"/>
        </w:rPr>
        <w:t xml:space="preserve">Alminnelige </w:t>
      </w:r>
      <w:proofErr w:type="spellStart"/>
      <w:r w:rsidRPr="0057018B">
        <w:rPr>
          <w:rFonts w:ascii="Palatino Linotype" w:eastAsia="Palatino Linotype" w:hAnsi="Palatino Linotype" w:cs="Verdana"/>
          <w:iCs/>
          <w:kern w:val="0"/>
          <w:sz w:val="20"/>
          <w:szCs w:val="20"/>
          <w14:ligatures w14:val="none"/>
        </w:rPr>
        <w:t>kontraktsbestemmelser</w:t>
      </w:r>
      <w:proofErr w:type="spellEnd"/>
      <w:r w:rsidRPr="0057018B">
        <w:rPr>
          <w:rFonts w:ascii="Palatino Linotype" w:eastAsia="Palatino Linotype" w:hAnsi="Palatino Linotype" w:cs="Verdana"/>
          <w:iCs/>
          <w:kern w:val="0"/>
          <w:sz w:val="20"/>
          <w:szCs w:val="20"/>
          <w14:ligatures w14:val="none"/>
        </w:rPr>
        <w:t xml:space="preserve"> </w:t>
      </w:r>
      <w:r w:rsidRPr="0057018B">
        <w:rPr>
          <w:rFonts w:ascii="Palatino Linotype" w:eastAsia="Palatino Linotype" w:hAnsi="Palatino Linotype" w:cs="Verdana"/>
          <w:kern w:val="0"/>
          <w:sz w:val="20"/>
          <w:szCs w:val="20"/>
          <w14:ligatures w14:val="none"/>
        </w:rPr>
        <w:t>som standardvilkår.</w:t>
      </w:r>
    </w:p>
    <w:p w14:paraId="340D6EEE" w14:textId="10277FD9"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Veilederen</w:t>
      </w:r>
      <w:r w:rsidR="00035830">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skal bidra til å sikre at viktige krav og prosedyrer i BREEAM Infrastructure ivaretas.</w:t>
      </w:r>
      <w:r w:rsidRPr="0057018B" w:rsidDel="00DF7723">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Veilederens</w:t>
      </w:r>
      <w:r w:rsidR="00035830">
        <w:rPr>
          <w:rFonts w:ascii="Palatino Linotype" w:eastAsia="Palatino Linotype" w:hAnsi="Palatino Linotype" w:cs="Verdana"/>
          <w:kern w:val="0"/>
          <w:sz w:val="20"/>
          <w:szCs w:val="20"/>
          <w14:ligatures w14:val="none"/>
        </w:rPr>
        <w:t xml:space="preserve"> </w:t>
      </w:r>
      <w:r w:rsidR="00035830" w:rsidRPr="00035830">
        <w:rPr>
          <w:rFonts w:ascii="Palatino Linotype" w:eastAsia="Palatino Linotype" w:hAnsi="Palatino Linotype" w:cs="Verdana"/>
          <w:kern w:val="0"/>
          <w:sz w:val="20"/>
          <w:szCs w:val="20"/>
          <w14:ligatures w14:val="none"/>
        </w:rPr>
        <w:t xml:space="preserve">del 2 </w:t>
      </w:r>
      <w:r w:rsidR="008538A9">
        <w:rPr>
          <w:rFonts w:ascii="Palatino Linotype" w:eastAsia="Palatino Linotype" w:hAnsi="Palatino Linotype" w:cs="Verdana"/>
          <w:kern w:val="0"/>
          <w:sz w:val="20"/>
          <w:szCs w:val="20"/>
          <w14:ligatures w14:val="none"/>
        </w:rPr>
        <w:t>gir råd om enkelte</w:t>
      </w:r>
      <w:r w:rsidR="00035830" w:rsidRPr="00035830">
        <w:rPr>
          <w:rFonts w:ascii="Palatino Linotype" w:eastAsia="Palatino Linotype" w:hAnsi="Palatino Linotype" w:cs="Verdana"/>
          <w:kern w:val="0"/>
          <w:sz w:val="20"/>
          <w:szCs w:val="20"/>
          <w14:ligatures w14:val="none"/>
        </w:rPr>
        <w:t xml:space="preserve"> problemstillinger</w:t>
      </w:r>
      <w:r w:rsidR="008538A9">
        <w:rPr>
          <w:rFonts w:ascii="Palatino Linotype" w:eastAsia="Palatino Linotype" w:hAnsi="Palatino Linotype" w:cs="Verdana"/>
          <w:kern w:val="0"/>
          <w:sz w:val="20"/>
          <w:szCs w:val="20"/>
          <w14:ligatures w14:val="none"/>
        </w:rPr>
        <w:t xml:space="preserve"> og tem</w:t>
      </w:r>
      <w:r w:rsidR="00346889">
        <w:rPr>
          <w:rFonts w:ascii="Palatino Linotype" w:eastAsia="Palatino Linotype" w:hAnsi="Palatino Linotype" w:cs="Verdana"/>
          <w:kern w:val="0"/>
          <w:sz w:val="20"/>
          <w:szCs w:val="20"/>
          <w14:ligatures w14:val="none"/>
        </w:rPr>
        <w:t>a</w:t>
      </w:r>
      <w:r w:rsidR="008538A9">
        <w:rPr>
          <w:rFonts w:ascii="Palatino Linotype" w:eastAsia="Palatino Linotype" w:hAnsi="Palatino Linotype" w:cs="Verdana"/>
          <w:kern w:val="0"/>
          <w:sz w:val="20"/>
          <w:szCs w:val="20"/>
          <w14:ligatures w14:val="none"/>
        </w:rPr>
        <w:t>er som</w:t>
      </w:r>
      <w:r w:rsidR="00035830" w:rsidRPr="00035830">
        <w:rPr>
          <w:rFonts w:ascii="Palatino Linotype" w:eastAsia="Palatino Linotype" w:hAnsi="Palatino Linotype" w:cs="Verdana"/>
          <w:kern w:val="0"/>
          <w:sz w:val="20"/>
          <w:szCs w:val="20"/>
          <w14:ligatures w14:val="none"/>
        </w:rPr>
        <w:t xml:space="preserve"> partene kan møte på </w:t>
      </w:r>
      <w:r w:rsidR="00035830">
        <w:rPr>
          <w:rFonts w:ascii="Palatino Linotype" w:eastAsia="Palatino Linotype" w:hAnsi="Palatino Linotype" w:cs="Verdana"/>
          <w:kern w:val="0"/>
          <w:sz w:val="20"/>
          <w:szCs w:val="20"/>
          <w14:ligatures w14:val="none"/>
        </w:rPr>
        <w:t>før de inngår kontrakt</w:t>
      </w:r>
      <w:r w:rsidR="00035830" w:rsidRPr="00035830">
        <w:rPr>
          <w:rFonts w:ascii="Palatino Linotype" w:eastAsia="Palatino Linotype" w:hAnsi="Palatino Linotype" w:cs="Verdana"/>
          <w:kern w:val="0"/>
          <w:sz w:val="20"/>
          <w:szCs w:val="20"/>
          <w14:ligatures w14:val="none"/>
        </w:rPr>
        <w:t xml:space="preserve">. </w:t>
      </w:r>
      <w:r w:rsidR="00346889">
        <w:rPr>
          <w:rFonts w:ascii="Palatino Linotype" w:eastAsia="Palatino Linotype" w:hAnsi="Palatino Linotype" w:cs="Verdana"/>
          <w:kern w:val="0"/>
          <w:sz w:val="20"/>
          <w:szCs w:val="20"/>
          <w14:ligatures w14:val="none"/>
        </w:rPr>
        <w:t>V</w:t>
      </w:r>
      <w:r w:rsidR="00035830" w:rsidRPr="00035830">
        <w:rPr>
          <w:rFonts w:ascii="Palatino Linotype" w:eastAsia="Palatino Linotype" w:hAnsi="Palatino Linotype" w:cs="Verdana"/>
          <w:kern w:val="0"/>
          <w:sz w:val="20"/>
          <w:szCs w:val="20"/>
          <w14:ligatures w14:val="none"/>
        </w:rPr>
        <w:t xml:space="preserve">eilederens del 3 inneholder konkrete forslag til </w:t>
      </w:r>
      <w:proofErr w:type="spellStart"/>
      <w:r w:rsidR="00035830" w:rsidRPr="00035830">
        <w:rPr>
          <w:rFonts w:ascii="Palatino Linotype" w:eastAsia="Palatino Linotype" w:hAnsi="Palatino Linotype" w:cs="Verdana"/>
          <w:kern w:val="0"/>
          <w:sz w:val="20"/>
          <w:szCs w:val="20"/>
          <w14:ligatures w14:val="none"/>
        </w:rPr>
        <w:t>kontraktsbestemmelser</w:t>
      </w:r>
      <w:proofErr w:type="spellEnd"/>
      <w:r w:rsidR="00035830" w:rsidRPr="00035830">
        <w:rPr>
          <w:rFonts w:ascii="Palatino Linotype" w:eastAsia="Palatino Linotype" w:hAnsi="Palatino Linotype" w:cs="Verdana"/>
          <w:kern w:val="0"/>
          <w:sz w:val="20"/>
          <w:szCs w:val="20"/>
          <w14:ligatures w14:val="none"/>
        </w:rPr>
        <w:t>, som partene kan velge å benytte i sine kontrakter.</w:t>
      </w:r>
      <w:r w:rsidR="00924B3C">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Partene må vurdere om bestemmelsene skal tilpasses det konkrete prosjektet før de benyttes. Bestemmelsene er også tilgjengelige som et eget redigerbart Word-vedlegg.</w:t>
      </w:r>
    </w:p>
    <w:p w14:paraId="026570F0" w14:textId="09CC7B88"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proofErr w:type="spellStart"/>
      <w:r w:rsidRPr="0057018B">
        <w:rPr>
          <w:rFonts w:ascii="Palatino Linotype" w:eastAsia="Palatino Linotype" w:hAnsi="Palatino Linotype" w:cs="Verdana"/>
          <w:kern w:val="0"/>
          <w:sz w:val="20"/>
          <w:szCs w:val="20"/>
          <w14:ligatures w14:val="none"/>
        </w:rPr>
        <w:t>Kontraktsbestemmelsene</w:t>
      </w:r>
      <w:proofErr w:type="spellEnd"/>
      <w:r w:rsidRPr="0057018B">
        <w:rPr>
          <w:rFonts w:ascii="Palatino Linotype" w:eastAsia="Palatino Linotype" w:hAnsi="Palatino Linotype" w:cs="Verdana"/>
          <w:kern w:val="0"/>
          <w:sz w:val="20"/>
          <w:szCs w:val="20"/>
          <w14:ligatures w14:val="none"/>
        </w:rPr>
        <w:t xml:space="preserve"> supplerer bestemmelsene i NS 8407. De kan enten innarbeides i partenes </w:t>
      </w:r>
      <w:proofErr w:type="spellStart"/>
      <w:r w:rsidRPr="0057018B">
        <w:rPr>
          <w:rFonts w:ascii="Palatino Linotype" w:eastAsia="Palatino Linotype" w:hAnsi="Palatino Linotype" w:cs="Verdana"/>
          <w:kern w:val="0"/>
          <w:sz w:val="20"/>
          <w:szCs w:val="20"/>
          <w14:ligatures w14:val="none"/>
        </w:rPr>
        <w:t>kontraktsformular</w:t>
      </w:r>
      <w:proofErr w:type="spellEnd"/>
      <w:r w:rsidRPr="0057018B">
        <w:rPr>
          <w:rFonts w:ascii="Palatino Linotype" w:eastAsia="Palatino Linotype" w:hAnsi="Palatino Linotype" w:cs="Verdana"/>
          <w:kern w:val="0"/>
          <w:sz w:val="20"/>
          <w:szCs w:val="20"/>
          <w14:ligatures w14:val="none"/>
        </w:rPr>
        <w:t xml:space="preserve">/avtaledokument, eller tas inn som et eget kontraktsdokument. Dersom veilederens del </w:t>
      </w:r>
      <w:r w:rsidR="00A93D95">
        <w:rPr>
          <w:rFonts w:ascii="Palatino Linotype" w:eastAsia="Palatino Linotype" w:hAnsi="Palatino Linotype" w:cs="Verdana"/>
          <w:kern w:val="0"/>
          <w:sz w:val="20"/>
          <w:szCs w:val="20"/>
          <w14:ligatures w14:val="none"/>
        </w:rPr>
        <w:t>3</w:t>
      </w:r>
      <w:r w:rsidRPr="0057018B">
        <w:rPr>
          <w:rFonts w:ascii="Palatino Linotype" w:eastAsia="Palatino Linotype" w:hAnsi="Palatino Linotype" w:cs="Verdana"/>
          <w:kern w:val="0"/>
          <w:sz w:val="20"/>
          <w:szCs w:val="20"/>
          <w14:ligatures w14:val="none"/>
        </w:rPr>
        <w:t xml:space="preserve"> benyttes som et eget kontraktsdokument, er det viktig at partene er oppmerksomme på kontraktens tolkningsregler. Partene må sikre at kontraktsdokumenter og bestemmelser får den ønskede prioriteten ved eventuell motstrid, og at bestemmelser som ikke er relevante for BREEAM-prosjektet tas ut. Videre bør totalentreprenøren sørge for at relevante bestemmelser og spesifikasjoner videreføres i de enkelte underentreprisekontraktene. </w:t>
      </w:r>
    </w:p>
    <w:p w14:paraId="08AA5DD0"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Selv om det er lagt ned arbeid i å sikre nøyaktighet i denne publikasjonen, tar ikke Grønn Byggallianse eller bidragsyterne ansvar for bruk av denne informasjonen eller for eventuelle feil eller mangler.</w:t>
      </w:r>
    </w:p>
    <w:p w14:paraId="51962332" w14:textId="452C594E" w:rsidR="00101F03" w:rsidRPr="0057018B" w:rsidRDefault="008653BC" w:rsidP="0057018B">
      <w:pPr>
        <w:keepNext/>
        <w:keepLines/>
        <w:pBdr>
          <w:top w:val="single" w:sz="24" w:space="1" w:color="568087"/>
          <w:bottom w:val="single" w:sz="24" w:space="1" w:color="568087"/>
        </w:pBdr>
        <w:shd w:val="clear" w:color="auto" w:fill="568087"/>
        <w:suppressAutoHyphens/>
        <w:spacing w:before="360" w:after="60" w:line="240" w:lineRule="atLeast"/>
        <w:ind w:left="794" w:hanging="794"/>
        <w:contextualSpacing/>
        <w:outlineLvl w:val="0"/>
        <w:rPr>
          <w:rFonts w:ascii="Palatino Linotype" w:eastAsia="MS Gothic" w:hAnsi="Palatino Linotype" w:cs="Times New Roman"/>
          <w:b/>
          <w:bCs/>
          <w:caps/>
          <w:color w:val="FFFFFF"/>
          <w:kern w:val="0"/>
          <w:sz w:val="23"/>
          <w:szCs w:val="23"/>
          <w14:ligatures w14:val="none"/>
        </w:rPr>
      </w:pPr>
      <w:r>
        <w:rPr>
          <w:rFonts w:ascii="Palatino Linotype" w:eastAsia="MS Gothic" w:hAnsi="Palatino Linotype" w:cs="Times New Roman"/>
          <w:b/>
          <w:bCs/>
          <w:caps/>
          <w:color w:val="FFFFFF"/>
          <w:kern w:val="0"/>
          <w:sz w:val="23"/>
          <w:szCs w:val="23"/>
          <w14:ligatures w14:val="none"/>
        </w:rPr>
        <w:lastRenderedPageBreak/>
        <w:t>2</w:t>
      </w:r>
      <w:r>
        <w:rPr>
          <w:rFonts w:ascii="Palatino Linotype" w:eastAsia="MS Gothic" w:hAnsi="Palatino Linotype" w:cs="Times New Roman"/>
          <w:b/>
          <w:bCs/>
          <w:caps/>
          <w:color w:val="FFFFFF"/>
          <w:kern w:val="0"/>
          <w:sz w:val="23"/>
          <w:szCs w:val="23"/>
          <w14:ligatures w14:val="none"/>
        </w:rPr>
        <w:tab/>
      </w:r>
      <w:r w:rsidR="004F2E35">
        <w:rPr>
          <w:rFonts w:ascii="Palatino Linotype" w:eastAsia="MS Gothic" w:hAnsi="Palatino Linotype" w:cs="Times New Roman"/>
          <w:b/>
          <w:bCs/>
          <w:caps/>
          <w:color w:val="FFFFFF"/>
          <w:kern w:val="0"/>
          <w:sz w:val="23"/>
          <w:szCs w:val="23"/>
          <w14:ligatures w14:val="none"/>
        </w:rPr>
        <w:t>BREEAM Infrastructure i totalentrepriser</w:t>
      </w:r>
    </w:p>
    <w:p w14:paraId="76E8B4C0" w14:textId="77777777" w:rsidR="0057018B" w:rsidRPr="0057018B" w:rsidRDefault="0057018B" w:rsidP="00941EE4">
      <w:pPr>
        <w:keepNext/>
        <w:keepLines/>
        <w:pBdr>
          <w:top w:val="single" w:sz="24" w:space="1" w:color="568087"/>
          <w:bottom w:val="single" w:sz="24" w:space="1" w:color="568087"/>
        </w:pBdr>
        <w:shd w:val="clear" w:color="auto" w:fill="568087"/>
        <w:suppressAutoHyphens/>
        <w:spacing w:before="360" w:after="60" w:line="240" w:lineRule="atLeast"/>
        <w:ind w:left="794" w:hanging="794"/>
        <w:contextualSpacing/>
        <w:outlineLvl w:val="0"/>
        <w:rPr>
          <w:rFonts w:ascii="Palatino Linotype" w:eastAsia="MS Gothic" w:hAnsi="Palatino Linotype" w:cs="Times New Roman"/>
          <w:b/>
          <w:bCs/>
          <w:vanish/>
          <w:kern w:val="0"/>
          <w:sz w:val="20"/>
          <w:szCs w:val="26"/>
          <w14:ligatures w14:val="none"/>
        </w:rPr>
      </w:pPr>
    </w:p>
    <w:p w14:paraId="586B15C0" w14:textId="77777777" w:rsidR="0057018B" w:rsidRPr="0057018B" w:rsidRDefault="0057018B" w:rsidP="0057018B">
      <w:pPr>
        <w:keepNext/>
        <w:keepLines/>
        <w:numPr>
          <w:ilvl w:val="0"/>
          <w:numId w:val="2"/>
        </w:numPr>
        <w:pBdr>
          <w:top w:val="single" w:sz="18" w:space="1" w:color="DBE6E8"/>
          <w:bottom w:val="single" w:sz="18" w:space="1" w:color="DBE6E8"/>
        </w:pBdr>
        <w:shd w:val="clear" w:color="auto" w:fill="DBE6E8"/>
        <w:suppressAutoHyphens/>
        <w:spacing w:before="120" w:after="60" w:line="240" w:lineRule="atLeast"/>
        <w:contextualSpacing/>
        <w:jc w:val="both"/>
        <w:outlineLvl w:val="1"/>
        <w:rPr>
          <w:rFonts w:ascii="Palatino Linotype" w:eastAsia="MS Gothic" w:hAnsi="Palatino Linotype" w:cs="Times New Roman"/>
          <w:b/>
          <w:bCs/>
          <w:vanish/>
          <w:kern w:val="0"/>
          <w:sz w:val="20"/>
          <w:szCs w:val="26"/>
          <w14:ligatures w14:val="none"/>
        </w:rPr>
      </w:pPr>
    </w:p>
    <w:p w14:paraId="1F2E3E32" w14:textId="73586E07"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t>2.1</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 xml:space="preserve"> Oppstart </w:t>
      </w:r>
    </w:p>
    <w:p w14:paraId="4C14B6AA" w14:textId="6783FED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Når et prosjekt skal BREEAM Infrastructure sertifiseres, kan hele eller deler av prosjektet revideres. De tre revisjonsfasene er tidligfase, designfase og anleggsfase. Partene kan velge å revidere og sertifisere </w:t>
      </w:r>
      <w:r w:rsidR="00AE2FBB">
        <w:rPr>
          <w:rFonts w:ascii="Palatino Linotype" w:eastAsia="Palatino Linotype" w:hAnsi="Palatino Linotype" w:cs="Verdana"/>
          <w:kern w:val="0"/>
          <w:sz w:val="20"/>
          <w:szCs w:val="20"/>
          <w14:ligatures w14:val="none"/>
        </w:rPr>
        <w:t>é</w:t>
      </w:r>
      <w:r w:rsidRPr="0057018B">
        <w:rPr>
          <w:rFonts w:ascii="Palatino Linotype" w:eastAsia="Palatino Linotype" w:hAnsi="Palatino Linotype" w:cs="Verdana"/>
          <w:kern w:val="0"/>
          <w:sz w:val="20"/>
          <w:szCs w:val="20"/>
          <w14:ligatures w14:val="none"/>
        </w:rPr>
        <w:t>n eller flere av fasene. Velger aktørene å revidere alle fasene heter revisjonsomfanget totalprosjekt.</w:t>
      </w:r>
    </w:p>
    <w:p w14:paraId="51B081EE"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Revisjonsomfang må vurderes for hvert prosjekt. Selv om det er mulig å revidere tidligere gjennomførte faser, bør denne vurderingen gjøres fra oppstarten av prosjektet.</w:t>
      </w:r>
    </w:p>
    <w:p w14:paraId="7B75700F" w14:textId="2CF5093C"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Allerede ved oppstart av prosjektet bør byggherren utvikle en tydelig ambisjon for BREEAM-sertifiseringen, og ut fra denne ambisjonen treffe en beslutning om sertifiseringsnivå og ønskede kvaliteter. Dette kan oppnås ved å bruke pre-analysen byggherren får tilgang til via </w:t>
      </w:r>
      <w:r w:rsidR="00493986">
        <w:rPr>
          <w:rFonts w:ascii="Palatino Linotype" w:eastAsia="Palatino Linotype" w:hAnsi="Palatino Linotype" w:cs="Verdana"/>
          <w:kern w:val="0"/>
          <w:sz w:val="20"/>
          <w:szCs w:val="20"/>
          <w14:ligatures w14:val="none"/>
        </w:rPr>
        <w:t>kvalifisert</w:t>
      </w:r>
      <w:r w:rsidRPr="0057018B">
        <w:rPr>
          <w:rFonts w:ascii="Palatino Linotype" w:eastAsia="Palatino Linotype" w:hAnsi="Palatino Linotype" w:cs="Verdana"/>
          <w:kern w:val="0"/>
          <w:sz w:val="20"/>
          <w:szCs w:val="20"/>
          <w14:ligatures w14:val="none"/>
        </w:rPr>
        <w:t xml:space="preserve"> BREEAM-assessor. Pre-analysen gir byggherren mulighet til å kartlegge forventet sertifiseringsnivå og hvilke revisjonskriterier og poeng som skal oppnås. </w:t>
      </w:r>
      <w:r w:rsidR="00D02FA5">
        <w:rPr>
          <w:rFonts w:ascii="Palatino Linotype" w:eastAsia="Palatino Linotype" w:hAnsi="Palatino Linotype" w:cs="Verdana"/>
          <w:kern w:val="0"/>
          <w:sz w:val="20"/>
          <w:szCs w:val="20"/>
          <w14:ligatures w14:val="none"/>
        </w:rPr>
        <w:t xml:space="preserve">Dette forsterker </w:t>
      </w:r>
      <w:r w:rsidRPr="0057018B">
        <w:rPr>
          <w:rFonts w:ascii="Palatino Linotype" w:eastAsia="Palatino Linotype" w:hAnsi="Palatino Linotype" w:cs="Verdana"/>
          <w:kern w:val="0"/>
          <w:sz w:val="20"/>
          <w:szCs w:val="20"/>
          <w14:ligatures w14:val="none"/>
        </w:rPr>
        <w:t>byggherren</w:t>
      </w:r>
      <w:r w:rsidR="00D02FA5">
        <w:rPr>
          <w:rFonts w:ascii="Palatino Linotype" w:eastAsia="Palatino Linotype" w:hAnsi="Palatino Linotype" w:cs="Verdana"/>
          <w:kern w:val="0"/>
          <w:sz w:val="20"/>
          <w:szCs w:val="20"/>
          <w14:ligatures w14:val="none"/>
        </w:rPr>
        <w:t>s</w:t>
      </w:r>
      <w:r w:rsidRPr="0057018B">
        <w:rPr>
          <w:rFonts w:ascii="Palatino Linotype" w:eastAsia="Palatino Linotype" w:hAnsi="Palatino Linotype" w:cs="Verdana"/>
          <w:kern w:val="0"/>
          <w:sz w:val="20"/>
          <w:szCs w:val="20"/>
          <w14:ligatures w14:val="none"/>
        </w:rPr>
        <w:t xml:space="preserve"> mulighet til å etterleve selskapets overordnede bærekraftambisjoner.</w:t>
      </w:r>
    </w:p>
    <w:p w14:paraId="6358DF2A" w14:textId="547CDA52" w:rsidR="0057018B" w:rsidRPr="0057018B" w:rsidRDefault="00FA41E2" w:rsidP="0057018B">
      <w:pPr>
        <w:suppressAutoHyphens/>
        <w:spacing w:after="200" w:line="240" w:lineRule="atLeast"/>
        <w:jc w:val="both"/>
        <w:rPr>
          <w:rFonts w:ascii="Palatino Linotype" w:eastAsia="Palatino Linotype" w:hAnsi="Palatino Linotype" w:cs="Verdana"/>
          <w:kern w:val="0"/>
          <w:sz w:val="20"/>
          <w:szCs w:val="20"/>
          <w14:ligatures w14:val="none"/>
        </w:rPr>
      </w:pPr>
      <w:r>
        <w:rPr>
          <w:rFonts w:ascii="Palatino Linotype" w:eastAsia="Palatino Linotype" w:hAnsi="Palatino Linotype" w:cs="Verdana"/>
          <w:kern w:val="0"/>
          <w:sz w:val="20"/>
          <w:szCs w:val="20"/>
          <w14:ligatures w14:val="none"/>
        </w:rPr>
        <w:t xml:space="preserve">Byggherren bør </w:t>
      </w:r>
      <w:r w:rsidR="00101F03">
        <w:rPr>
          <w:rFonts w:ascii="Palatino Linotype" w:eastAsia="Palatino Linotype" w:hAnsi="Palatino Linotype" w:cs="Verdana"/>
          <w:kern w:val="0"/>
          <w:sz w:val="20"/>
          <w:szCs w:val="20"/>
          <w14:ligatures w14:val="none"/>
        </w:rPr>
        <w:t xml:space="preserve">innarbeide </w:t>
      </w:r>
      <w:r>
        <w:rPr>
          <w:rFonts w:ascii="Palatino Linotype" w:eastAsia="Palatino Linotype" w:hAnsi="Palatino Linotype" w:cs="Verdana"/>
          <w:kern w:val="0"/>
          <w:sz w:val="20"/>
          <w:szCs w:val="20"/>
          <w14:ligatures w14:val="none"/>
        </w:rPr>
        <w:t>pre-analysen</w:t>
      </w:r>
      <w:r w:rsidR="002E11C6">
        <w:rPr>
          <w:rFonts w:ascii="Palatino Linotype" w:eastAsia="Palatino Linotype" w:hAnsi="Palatino Linotype" w:cs="Verdana"/>
          <w:kern w:val="0"/>
          <w:sz w:val="20"/>
          <w:szCs w:val="20"/>
          <w14:ligatures w14:val="none"/>
        </w:rPr>
        <w:t xml:space="preserve"> </w:t>
      </w:r>
      <w:r w:rsidR="0057018B" w:rsidRPr="0057018B">
        <w:rPr>
          <w:rFonts w:ascii="Palatino Linotype" w:eastAsia="Palatino Linotype" w:hAnsi="Palatino Linotype" w:cs="Verdana"/>
          <w:kern w:val="0"/>
          <w:sz w:val="20"/>
          <w:szCs w:val="20"/>
          <w14:ligatures w14:val="none"/>
        </w:rPr>
        <w:t>i konkurranse-/tilbudsgrunnlag. På den måten kan byggherren sikre at kravene til BREEAM-ytelsen synliggjøres i konkurransegrunnlaget/tilbudsbeskrivelsen</w:t>
      </w:r>
      <w:r w:rsidR="008E1CCB">
        <w:rPr>
          <w:rFonts w:ascii="Palatino Linotype" w:eastAsia="Palatino Linotype" w:hAnsi="Palatino Linotype" w:cs="Verdana"/>
          <w:kern w:val="0"/>
          <w:sz w:val="20"/>
          <w:szCs w:val="20"/>
          <w14:ligatures w14:val="none"/>
        </w:rPr>
        <w:t xml:space="preserve"> </w:t>
      </w:r>
      <w:r w:rsidR="008E1CCB" w:rsidRPr="008E1CCB">
        <w:rPr>
          <w:rFonts w:ascii="Palatino Linotype" w:eastAsia="Palatino Linotype" w:hAnsi="Palatino Linotype" w:cs="Verdana"/>
          <w:kern w:val="0"/>
          <w:sz w:val="20"/>
          <w:szCs w:val="20"/>
          <w14:ligatures w14:val="none"/>
        </w:rPr>
        <w:t>og en god prosess og metodikk for å oppnå ønskede bærekraft</w:t>
      </w:r>
      <w:r w:rsidR="00035830">
        <w:rPr>
          <w:rFonts w:ascii="Palatino Linotype" w:eastAsia="Palatino Linotype" w:hAnsi="Palatino Linotype" w:cs="Verdana"/>
          <w:kern w:val="0"/>
          <w:sz w:val="20"/>
          <w:szCs w:val="20"/>
          <w14:ligatures w14:val="none"/>
        </w:rPr>
        <w:t xml:space="preserve">ige </w:t>
      </w:r>
      <w:r w:rsidR="008E1CCB" w:rsidRPr="008E1CCB">
        <w:rPr>
          <w:rFonts w:ascii="Palatino Linotype" w:eastAsia="Palatino Linotype" w:hAnsi="Palatino Linotype" w:cs="Verdana"/>
          <w:kern w:val="0"/>
          <w:sz w:val="20"/>
          <w:szCs w:val="20"/>
          <w14:ligatures w14:val="none"/>
        </w:rPr>
        <w:t>kvaliteter</w:t>
      </w:r>
      <w:r w:rsidR="0057018B" w:rsidRPr="0057018B">
        <w:rPr>
          <w:rFonts w:ascii="Palatino Linotype" w:eastAsia="Palatino Linotype" w:hAnsi="Palatino Linotype" w:cs="Verdana"/>
          <w:kern w:val="0"/>
          <w:sz w:val="20"/>
          <w:szCs w:val="20"/>
          <w14:ligatures w14:val="none"/>
        </w:rPr>
        <w:t>. Dette vil igjen kunne forhindre at det oppstår motstrid mellom byggherrens krav til BREEAM-ytelsen og øvrige krav i konkurransegrunnlaget/tilbudsbeskrivelsen. Byggherren vil da også ha muligheten til å synliggjøre hvilken fagkompetanse totalentreprenøren må tilknytte seg i prosjektet.</w:t>
      </w:r>
    </w:p>
    <w:p w14:paraId="637647DD" w14:textId="04BA1BB3"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t>2.2</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Samspill</w:t>
      </w:r>
    </w:p>
    <w:p w14:paraId="4BAFE1EB" w14:textId="57DF0E3F"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Partene bør se på muligheten for å gjennomføre en samspillsfase, hvor partene så tidlig som mulig gjennom dialog, tillit og åpenhet bearbeider og optimaliserer prosjektet. Samspillsfasen bør ha som formål å optimalisere både </w:t>
      </w:r>
      <w:proofErr w:type="spellStart"/>
      <w:r w:rsidR="00035830" w:rsidRPr="00121C77">
        <w:rPr>
          <w:rFonts w:ascii="Palatino Linotype" w:eastAsia="Palatino Linotype" w:hAnsi="Palatino Linotype" w:cs="Verdana"/>
          <w:kern w:val="0"/>
          <w:sz w:val="20"/>
          <w:szCs w:val="20"/>
          <w14:ligatures w14:val="none"/>
        </w:rPr>
        <w:t>bærekraftsmål</w:t>
      </w:r>
      <w:proofErr w:type="spellEnd"/>
      <w:r w:rsidR="008E1CCB" w:rsidRPr="0057018B">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 xml:space="preserve">og gjennomføringen av BREEAM-prosessen. </w:t>
      </w:r>
    </w:p>
    <w:p w14:paraId="357ADF25"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I samspillsfasen kan partene utarbeide en felles strategi for hvordan ønsket sertifisering og kvaliteter skal oppnås. I tillegg kan totalentreprenøren bidra med egne innspill til hvilke kvaliteter som kan oppnås utover byggherrens spesifiserte krav. </w:t>
      </w:r>
    </w:p>
    <w:p w14:paraId="1FF9C915" w14:textId="23325D22" w:rsidR="001A52AC"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I samspillsfasen vil det også være naturlig for partene å vurdere kvaliteter opp mot kostnader og </w:t>
      </w:r>
      <w:r w:rsidR="008E1CCB">
        <w:rPr>
          <w:rFonts w:ascii="Palatino Linotype" w:eastAsia="Palatino Linotype" w:hAnsi="Palatino Linotype" w:cs="Verdana"/>
          <w:kern w:val="0"/>
          <w:sz w:val="20"/>
          <w:szCs w:val="20"/>
          <w14:ligatures w14:val="none"/>
        </w:rPr>
        <w:t>bærekraft</w:t>
      </w:r>
      <w:r w:rsidRPr="0057018B">
        <w:rPr>
          <w:rFonts w:ascii="Palatino Linotype" w:eastAsia="Palatino Linotype" w:hAnsi="Palatino Linotype" w:cs="Verdana"/>
          <w:kern w:val="0"/>
          <w:sz w:val="20"/>
          <w:szCs w:val="20"/>
          <w14:ligatures w14:val="none"/>
        </w:rPr>
        <w:t>.</w:t>
      </w:r>
    </w:p>
    <w:p w14:paraId="3FF1CE90" w14:textId="2BD3EDC2"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t>2.3</w:t>
      </w:r>
      <w:r>
        <w:rPr>
          <w:rFonts w:ascii="Palatino Linotype" w:eastAsia="MS Gothic" w:hAnsi="Palatino Linotype" w:cs="Times New Roman"/>
          <w:b/>
          <w:bCs/>
          <w:kern w:val="0"/>
          <w:sz w:val="20"/>
          <w:szCs w:val="26"/>
          <w14:ligatures w14:val="none"/>
        </w:rPr>
        <w:tab/>
      </w:r>
      <w:proofErr w:type="spellStart"/>
      <w:r w:rsidR="0057018B" w:rsidRPr="0057018B">
        <w:rPr>
          <w:rFonts w:ascii="Palatino Linotype" w:eastAsia="MS Gothic" w:hAnsi="Palatino Linotype" w:cs="Times New Roman"/>
          <w:b/>
          <w:bCs/>
          <w:kern w:val="0"/>
          <w:sz w:val="20"/>
          <w:szCs w:val="26"/>
          <w14:ligatures w14:val="none"/>
        </w:rPr>
        <w:t>Tiltransport</w:t>
      </w:r>
      <w:proofErr w:type="spellEnd"/>
    </w:p>
    <w:p w14:paraId="3A8E407B" w14:textId="5E2B9773"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Dersom byggherren har engasjert en assessor før kontrakt med totalentreprenøren er inngått, </w:t>
      </w:r>
      <w:r w:rsidR="004512F0">
        <w:rPr>
          <w:rFonts w:ascii="Palatino Linotype" w:eastAsia="Palatino Linotype" w:hAnsi="Palatino Linotype" w:cs="Verdana"/>
          <w:kern w:val="0"/>
          <w:sz w:val="20"/>
          <w:szCs w:val="20"/>
          <w14:ligatures w14:val="none"/>
        </w:rPr>
        <w:t>kan</w:t>
      </w:r>
      <w:r w:rsidRPr="0057018B">
        <w:rPr>
          <w:rFonts w:ascii="Palatino Linotype" w:eastAsia="Palatino Linotype" w:hAnsi="Palatino Linotype" w:cs="Verdana"/>
          <w:kern w:val="0"/>
          <w:sz w:val="20"/>
          <w:szCs w:val="20"/>
          <w14:ligatures w14:val="none"/>
        </w:rPr>
        <w:t xml:space="preserve"> partene vurdere om assessor skal tiltransporteres totalentreprenøren. </w:t>
      </w:r>
    </w:p>
    <w:p w14:paraId="7E4C842C" w14:textId="07A3336E"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Ut fra behov og oppgaver kan avtaler om </w:t>
      </w:r>
      <w:proofErr w:type="spellStart"/>
      <w:r w:rsidRPr="0057018B">
        <w:rPr>
          <w:rFonts w:ascii="Palatino Linotype" w:eastAsia="Palatino Linotype" w:hAnsi="Palatino Linotype" w:cs="Verdana"/>
          <w:kern w:val="0"/>
          <w:sz w:val="20"/>
          <w:szCs w:val="20"/>
          <w14:ligatures w14:val="none"/>
        </w:rPr>
        <w:t>tiltransport</w:t>
      </w:r>
      <w:proofErr w:type="spellEnd"/>
      <w:r w:rsidRPr="0057018B">
        <w:rPr>
          <w:rFonts w:ascii="Palatino Linotype" w:eastAsia="Palatino Linotype" w:hAnsi="Palatino Linotype" w:cs="Verdana"/>
          <w:kern w:val="0"/>
          <w:sz w:val="20"/>
          <w:szCs w:val="20"/>
          <w14:ligatures w14:val="none"/>
        </w:rPr>
        <w:t xml:space="preserve"> inngås etter reglene i NS 8407 pkt. 12 og 13. I del 3 pkt. </w:t>
      </w:r>
      <w:r w:rsidR="009C6BC2">
        <w:rPr>
          <w:rFonts w:ascii="Palatino Linotype" w:eastAsia="Palatino Linotype" w:hAnsi="Palatino Linotype" w:cs="Verdana"/>
          <w:kern w:val="0"/>
          <w:sz w:val="20"/>
          <w:szCs w:val="20"/>
          <w14:ligatures w14:val="none"/>
        </w:rPr>
        <w:t xml:space="preserve">D </w:t>
      </w:r>
      <w:r w:rsidRPr="0057018B">
        <w:rPr>
          <w:rFonts w:ascii="Palatino Linotype" w:eastAsia="Palatino Linotype" w:hAnsi="Palatino Linotype" w:cs="Verdana"/>
          <w:kern w:val="0"/>
          <w:sz w:val="20"/>
          <w:szCs w:val="20"/>
          <w14:ligatures w14:val="none"/>
        </w:rPr>
        <w:t xml:space="preserve">er det utarbeidet forslag til bestemmelser om </w:t>
      </w:r>
      <w:proofErr w:type="spellStart"/>
      <w:r w:rsidRPr="0057018B">
        <w:rPr>
          <w:rFonts w:ascii="Palatino Linotype" w:eastAsia="Palatino Linotype" w:hAnsi="Palatino Linotype" w:cs="Verdana"/>
          <w:kern w:val="0"/>
          <w:sz w:val="20"/>
          <w:szCs w:val="20"/>
          <w14:ligatures w14:val="none"/>
        </w:rPr>
        <w:t>tiltransport</w:t>
      </w:r>
      <w:proofErr w:type="spellEnd"/>
      <w:r w:rsidRPr="0057018B">
        <w:rPr>
          <w:rFonts w:ascii="Palatino Linotype" w:eastAsia="Palatino Linotype" w:hAnsi="Palatino Linotype" w:cs="Verdana"/>
          <w:kern w:val="0"/>
          <w:sz w:val="20"/>
          <w:szCs w:val="20"/>
          <w14:ligatures w14:val="none"/>
        </w:rPr>
        <w:t xml:space="preserve"> av assessor og andre fageksperter etter reglene i NS 8407 pkt. 13.</w:t>
      </w:r>
    </w:p>
    <w:p w14:paraId="587795DA"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Dersom </w:t>
      </w:r>
      <w:proofErr w:type="spellStart"/>
      <w:r w:rsidRPr="0057018B">
        <w:rPr>
          <w:rFonts w:ascii="Palatino Linotype" w:eastAsia="Palatino Linotype" w:hAnsi="Palatino Linotype" w:cs="Verdana"/>
          <w:kern w:val="0"/>
          <w:sz w:val="20"/>
          <w:szCs w:val="20"/>
          <w14:ligatures w14:val="none"/>
        </w:rPr>
        <w:t>tiltransport</w:t>
      </w:r>
      <w:proofErr w:type="spellEnd"/>
      <w:r w:rsidRPr="0057018B">
        <w:rPr>
          <w:rFonts w:ascii="Palatino Linotype" w:eastAsia="Palatino Linotype" w:hAnsi="Palatino Linotype" w:cs="Verdana"/>
          <w:kern w:val="0"/>
          <w:sz w:val="20"/>
          <w:szCs w:val="20"/>
          <w14:ligatures w14:val="none"/>
        </w:rPr>
        <w:t xml:space="preserve"> er aktuelt, bør byggherren sørge for at eventuelle avtaler utgjør en del av tilbudsgrunnlaget. Dette er nødvendig for at totalentreprenøren skal få innsikt i avtalene (priser, fremdrift etc.) og kan ta høyde for dette i sin kalkyle.</w:t>
      </w:r>
    </w:p>
    <w:p w14:paraId="7EBCAE6C" w14:textId="6F3A982B"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2" w:name="_Ref65469867"/>
      <w:r>
        <w:rPr>
          <w:rFonts w:ascii="Palatino Linotype" w:eastAsia="MS Gothic" w:hAnsi="Palatino Linotype" w:cs="Times New Roman"/>
          <w:b/>
          <w:bCs/>
          <w:kern w:val="0"/>
          <w:sz w:val="20"/>
          <w:szCs w:val="26"/>
          <w14:ligatures w14:val="none"/>
        </w:rPr>
        <w:lastRenderedPageBreak/>
        <w:t>2.4</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 xml:space="preserve">Incentivordning </w:t>
      </w:r>
    </w:p>
    <w:p w14:paraId="277C6A75" w14:textId="495DF629"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For å stimulere til gode </w:t>
      </w:r>
      <w:r w:rsidR="005772D8">
        <w:rPr>
          <w:rFonts w:ascii="Palatino Linotype" w:eastAsia="Palatino Linotype" w:hAnsi="Palatino Linotype" w:cs="Verdana"/>
          <w:kern w:val="0"/>
          <w:sz w:val="20"/>
          <w:szCs w:val="20"/>
          <w14:ligatures w14:val="none"/>
        </w:rPr>
        <w:t xml:space="preserve">og bærekraftige </w:t>
      </w:r>
      <w:r w:rsidR="005772D8" w:rsidRPr="0057018B">
        <w:rPr>
          <w:rFonts w:ascii="Palatino Linotype" w:eastAsia="Palatino Linotype" w:hAnsi="Palatino Linotype" w:cs="Verdana"/>
          <w:kern w:val="0"/>
          <w:sz w:val="20"/>
          <w:szCs w:val="20"/>
          <w14:ligatures w14:val="none"/>
        </w:rPr>
        <w:t>kvalitete</w:t>
      </w:r>
      <w:r w:rsidRPr="0057018B">
        <w:rPr>
          <w:rFonts w:ascii="Palatino Linotype" w:eastAsia="Palatino Linotype" w:hAnsi="Palatino Linotype" w:cs="Verdana"/>
          <w:kern w:val="0"/>
          <w:sz w:val="20"/>
          <w:szCs w:val="20"/>
          <w14:ligatures w14:val="none"/>
        </w:rPr>
        <w:t>r i byggeprosjektet, kan partene avtale ulike incentivordninger. Partene oppfordres til å ta i bruk slike ordninger. På denne måten kan man fordele den økonomiske risikoen og fortjenesten mellom partene.</w:t>
      </w:r>
    </w:p>
    <w:p w14:paraId="6B0CE2D8" w14:textId="77777777" w:rsidR="0057018B" w:rsidRPr="0057018B" w:rsidRDefault="0057018B" w:rsidP="0057018B">
      <w:pPr>
        <w:suppressAutoHyphens/>
        <w:spacing w:after="200" w:line="240" w:lineRule="atLeast"/>
        <w:jc w:val="both"/>
        <w:rPr>
          <w:rFonts w:ascii="Palatino Linotype" w:eastAsia="MS Gothic" w:hAnsi="Palatino Linotype" w:cs="Times New Roman"/>
          <w:b/>
          <w:bCs/>
          <w:caps/>
          <w:color w:val="FFFFFF"/>
          <w:kern w:val="0"/>
          <w:sz w:val="21"/>
          <w:szCs w:val="21"/>
          <w14:ligatures w14:val="none"/>
        </w:rPr>
      </w:pPr>
      <w:r w:rsidRPr="0057018B">
        <w:rPr>
          <w:rFonts w:ascii="Palatino Linotype" w:eastAsia="Palatino Linotype" w:hAnsi="Palatino Linotype" w:cs="Verdana"/>
          <w:kern w:val="0"/>
          <w:sz w:val="20"/>
          <w:szCs w:val="20"/>
          <w14:ligatures w14:val="none"/>
        </w:rPr>
        <w:t xml:space="preserve">Forslag til incentivordning er inntatt i del 3 pkt. I nedenfor.   </w:t>
      </w:r>
    </w:p>
    <w:p w14:paraId="6867583A" w14:textId="533615A8" w:rsidR="0057018B" w:rsidRPr="0057018B" w:rsidRDefault="008653BC" w:rsidP="0057018B">
      <w:pPr>
        <w:keepNext/>
        <w:keepLines/>
        <w:pBdr>
          <w:top w:val="single" w:sz="24" w:space="1" w:color="568087"/>
          <w:bottom w:val="single" w:sz="24" w:space="1" w:color="568087"/>
        </w:pBdr>
        <w:shd w:val="clear" w:color="auto" w:fill="568087"/>
        <w:suppressAutoHyphens/>
        <w:spacing w:before="360" w:after="60" w:line="240" w:lineRule="atLeast"/>
        <w:ind w:left="794" w:hanging="794"/>
        <w:contextualSpacing/>
        <w:outlineLvl w:val="0"/>
        <w:rPr>
          <w:rFonts w:ascii="Palatino Linotype" w:eastAsia="MS Gothic" w:hAnsi="Palatino Linotype" w:cs="Times New Roman"/>
          <w:b/>
          <w:bCs/>
          <w:caps/>
          <w:color w:val="FFFFFF"/>
          <w:kern w:val="0"/>
          <w:sz w:val="23"/>
          <w:szCs w:val="23"/>
          <w14:ligatures w14:val="none"/>
        </w:rPr>
      </w:pPr>
      <w:bookmarkStart w:id="3" w:name="_Ref69823768"/>
      <w:bookmarkEnd w:id="2"/>
      <w:r>
        <w:rPr>
          <w:rFonts w:ascii="Palatino Linotype" w:eastAsia="MS Gothic" w:hAnsi="Palatino Linotype" w:cs="Times New Roman"/>
          <w:b/>
          <w:bCs/>
          <w:caps/>
          <w:color w:val="FFFFFF"/>
          <w:kern w:val="0"/>
          <w:sz w:val="23"/>
          <w:szCs w:val="23"/>
          <w14:ligatures w14:val="none"/>
        </w:rPr>
        <w:t>3</w:t>
      </w:r>
      <w:r>
        <w:rPr>
          <w:rFonts w:ascii="Palatino Linotype" w:eastAsia="MS Gothic" w:hAnsi="Palatino Linotype" w:cs="Times New Roman"/>
          <w:b/>
          <w:bCs/>
          <w:caps/>
          <w:color w:val="FFFFFF"/>
          <w:kern w:val="0"/>
          <w:sz w:val="23"/>
          <w:szCs w:val="23"/>
          <w14:ligatures w14:val="none"/>
        </w:rPr>
        <w:tab/>
      </w:r>
      <w:r w:rsidR="0057018B" w:rsidRPr="0057018B">
        <w:rPr>
          <w:rFonts w:ascii="Palatino Linotype" w:eastAsia="MS Gothic" w:hAnsi="Palatino Linotype" w:cs="Times New Roman"/>
          <w:b/>
          <w:bCs/>
          <w:caps/>
          <w:color w:val="FFFFFF"/>
          <w:kern w:val="0"/>
          <w:sz w:val="23"/>
          <w:szCs w:val="23"/>
          <w14:ligatures w14:val="none"/>
        </w:rPr>
        <w:t>KONTRAKTSVILKÅR FOR BREEAM INFRASTRUCTURE</w:t>
      </w:r>
      <w:bookmarkEnd w:id="3"/>
    </w:p>
    <w:p w14:paraId="5FB0884D"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Denne veilederen forutsetter at partenes kontrakt er basert på NS 8407:2011 Alminnelige </w:t>
      </w:r>
      <w:proofErr w:type="spellStart"/>
      <w:r w:rsidRPr="0057018B">
        <w:rPr>
          <w:rFonts w:ascii="Palatino Linotype" w:eastAsia="Palatino Linotype" w:hAnsi="Palatino Linotype" w:cs="Verdana"/>
          <w:kern w:val="0"/>
          <w:sz w:val="20"/>
          <w:szCs w:val="20"/>
          <w14:ligatures w14:val="none"/>
        </w:rPr>
        <w:t>kontraktsbestemmelser</w:t>
      </w:r>
      <w:proofErr w:type="spellEnd"/>
      <w:r w:rsidRPr="0057018B">
        <w:rPr>
          <w:rFonts w:ascii="Palatino Linotype" w:eastAsia="Palatino Linotype" w:hAnsi="Palatino Linotype" w:cs="Verdana"/>
          <w:kern w:val="0"/>
          <w:sz w:val="20"/>
          <w:szCs w:val="20"/>
          <w14:ligatures w14:val="none"/>
        </w:rPr>
        <w:t xml:space="preserve"> for totalentrepriser. </w:t>
      </w:r>
      <w:proofErr w:type="spellStart"/>
      <w:r w:rsidRPr="0057018B">
        <w:rPr>
          <w:rFonts w:ascii="Palatino Linotype" w:eastAsia="Palatino Linotype" w:hAnsi="Palatino Linotype" w:cs="Verdana"/>
          <w:kern w:val="0"/>
          <w:sz w:val="20"/>
          <w:szCs w:val="20"/>
          <w14:ligatures w14:val="none"/>
        </w:rPr>
        <w:t>Kontraktsbestemmelsene</w:t>
      </w:r>
      <w:proofErr w:type="spellEnd"/>
      <w:r w:rsidRPr="0057018B">
        <w:rPr>
          <w:rFonts w:ascii="Palatino Linotype" w:eastAsia="Palatino Linotype" w:hAnsi="Palatino Linotype" w:cs="Verdana"/>
          <w:kern w:val="0"/>
          <w:sz w:val="20"/>
          <w:szCs w:val="20"/>
          <w14:ligatures w14:val="none"/>
        </w:rPr>
        <w:t xml:space="preserve"> nedenfor er suppleringer til reglene som følger av NS 8407.</w:t>
      </w:r>
    </w:p>
    <w:p w14:paraId="1269ED02" w14:textId="0DEBBFBD"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4" w:name="_Ref65783279"/>
      <w:r>
        <w:rPr>
          <w:rFonts w:ascii="Palatino Linotype" w:eastAsia="MS Gothic" w:hAnsi="Palatino Linotype" w:cs="Times New Roman"/>
          <w:b/>
          <w:bCs/>
          <w:kern w:val="0"/>
          <w:sz w:val="20"/>
          <w:szCs w:val="26"/>
          <w14:ligatures w14:val="none"/>
        </w:rPr>
        <w:t>A.</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Krav om BREEAM Infrastructure sertifisering</w:t>
      </w:r>
      <w:bookmarkEnd w:id="4"/>
    </w:p>
    <w:p w14:paraId="04B622F2" w14:textId="77C3BEF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Prosjektet [</w:t>
      </w:r>
      <w:r w:rsidRPr="0057018B">
        <w:rPr>
          <w:rFonts w:ascii="Palatino Linotype" w:eastAsia="Palatino Linotype" w:hAnsi="Palatino Linotype" w:cs="Verdana"/>
          <w:kern w:val="0"/>
          <w:sz w:val="20"/>
          <w:szCs w:val="20"/>
          <w:shd w:val="clear" w:color="auto" w:fill="F3E4B2"/>
          <w14:ligatures w14:val="none"/>
        </w:rPr>
        <w:t>sett inn navn på prosjektet</w:t>
      </w:r>
      <w:r w:rsidRPr="0057018B">
        <w:rPr>
          <w:rFonts w:ascii="Palatino Linotype" w:eastAsia="Palatino Linotype" w:hAnsi="Palatino Linotype" w:cs="Verdana"/>
          <w:kern w:val="0"/>
          <w:sz w:val="20"/>
          <w:szCs w:val="20"/>
          <w14:ligatures w14:val="none"/>
        </w:rPr>
        <w:t xml:space="preserve">] skal oppnå BREEAM Infrastructure-sertifisering i tråd med de avtalte kravene i punkt </w:t>
      </w:r>
      <w:r w:rsidR="009C6BC2">
        <w:rPr>
          <w:rFonts w:ascii="Palatino Linotype" w:eastAsia="Palatino Linotype" w:hAnsi="Palatino Linotype" w:cs="Verdana"/>
          <w:kern w:val="0"/>
          <w:sz w:val="20"/>
          <w:szCs w:val="20"/>
          <w14:ligatures w14:val="none"/>
        </w:rPr>
        <w:t>B</w:t>
      </w:r>
      <w:r w:rsidR="009C6BC2" w:rsidRPr="0057018B">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nedenfor.</w:t>
      </w:r>
    </w:p>
    <w:p w14:paraId="5A6760C0"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Med mindre annet følger ved registrering hos BRE, skal BREEAM Infrastructure for prosjekter versjon 6 (SD6053 BREEAM Infrastructure: Projects International Version 6) («BREEAM-manualen») benyttes for prosjektet. Det er utarbeidet en norsk oversettelse av den engelske versjonen av manualen. Ved eventuell motstrid, går den engelske versjonen foran den norske.</w:t>
      </w:r>
    </w:p>
    <w:p w14:paraId="4AF7807D" w14:textId="2795731B"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Både byggherren og totalentreprenøren forplikter seg til å ta en aktiv rolle i BREEAM-prosessen, og bidra til at både gjennomføringen av prosjektet og kontraktsgjenstanden oppnår de ønskede </w:t>
      </w:r>
      <w:proofErr w:type="spellStart"/>
      <w:r w:rsidR="005772D8">
        <w:rPr>
          <w:rFonts w:ascii="Palatino Linotype" w:eastAsia="Palatino Linotype" w:hAnsi="Palatino Linotype" w:cs="Verdana"/>
          <w:kern w:val="0"/>
          <w:sz w:val="20"/>
          <w:szCs w:val="20"/>
          <w14:ligatures w14:val="none"/>
        </w:rPr>
        <w:t>bærekrafts</w:t>
      </w:r>
      <w:r w:rsidR="00035830">
        <w:rPr>
          <w:rFonts w:ascii="Palatino Linotype" w:eastAsia="Palatino Linotype" w:hAnsi="Palatino Linotype" w:cs="Verdana"/>
          <w:kern w:val="0"/>
          <w:sz w:val="20"/>
          <w:szCs w:val="20"/>
          <w14:ligatures w14:val="none"/>
        </w:rPr>
        <w:t>målene</w:t>
      </w:r>
      <w:proofErr w:type="spellEnd"/>
      <w:r w:rsidRPr="0057018B">
        <w:rPr>
          <w:rFonts w:ascii="Palatino Linotype" w:eastAsia="Palatino Linotype" w:hAnsi="Palatino Linotype" w:cs="Verdana"/>
          <w:kern w:val="0"/>
          <w:sz w:val="20"/>
          <w:szCs w:val="20"/>
          <w14:ligatures w14:val="none"/>
        </w:rPr>
        <w:t>.</w:t>
      </w:r>
    </w:p>
    <w:p w14:paraId="140913FA" w14:textId="28275E7F"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5" w:name="_Ref65491660"/>
      <w:r>
        <w:rPr>
          <w:rFonts w:ascii="Palatino Linotype" w:eastAsia="MS Gothic" w:hAnsi="Palatino Linotype" w:cs="Times New Roman"/>
          <w:b/>
          <w:bCs/>
          <w:kern w:val="0"/>
          <w:sz w:val="20"/>
          <w:szCs w:val="26"/>
          <w14:ligatures w14:val="none"/>
        </w:rPr>
        <w:t>B.</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Sertifiseringsnivå og BREEAM-kvaliteter (NS 8407 pkt. 14.1 og 14.3)</w:t>
      </w:r>
      <w:bookmarkEnd w:id="5"/>
    </w:p>
    <w:p w14:paraId="3B502C1F" w14:textId="49E0D80B" w:rsidR="0057018B" w:rsidRPr="005822C1" w:rsidRDefault="0057018B" w:rsidP="0057018B">
      <w:pPr>
        <w:suppressAutoHyphens/>
        <w:spacing w:after="200" w:line="240" w:lineRule="atLeast"/>
        <w:jc w:val="both"/>
      </w:pPr>
      <w:r w:rsidRPr="0057018B">
        <w:rPr>
          <w:rFonts w:ascii="Palatino Linotype" w:eastAsia="Palatino Linotype" w:hAnsi="Palatino Linotype" w:cs="Verdana"/>
          <w:kern w:val="0"/>
          <w:sz w:val="20"/>
          <w:szCs w:val="20"/>
          <w14:ligatures w14:val="none"/>
        </w:rPr>
        <w:t>Kontraktsgjenstanden skal oppnå sertifiseringsnivået [</w:t>
      </w:r>
      <w:r w:rsidRPr="0057018B">
        <w:rPr>
          <w:rFonts w:ascii="Palatino Linotype" w:eastAsia="Palatino Linotype" w:hAnsi="Palatino Linotype" w:cs="Verdana"/>
          <w:kern w:val="0"/>
          <w:sz w:val="20"/>
          <w:szCs w:val="20"/>
          <w:shd w:val="clear" w:color="auto" w:fill="F3E4B2"/>
          <w14:ligatures w14:val="none"/>
        </w:rPr>
        <w:t>sett inn sertifiseringsnivå</w:t>
      </w:r>
      <w:r w:rsidRPr="0057018B">
        <w:rPr>
          <w:rFonts w:ascii="Palatino Linotype" w:eastAsia="Palatino Linotype" w:hAnsi="Palatino Linotype" w:cs="Verdana"/>
          <w:kern w:val="0"/>
          <w:sz w:val="20"/>
          <w:szCs w:val="20"/>
          <w14:ligatures w14:val="none"/>
        </w:rPr>
        <w:t xml:space="preserve">]. Totalentreprenøren plikter å levere </w:t>
      </w:r>
      <w:bookmarkStart w:id="6" w:name="_Hlk177131270"/>
      <w:r w:rsidRPr="0057018B">
        <w:rPr>
          <w:rFonts w:ascii="Palatino Linotype" w:eastAsia="Palatino Linotype" w:hAnsi="Palatino Linotype" w:cs="Verdana"/>
          <w:kern w:val="0"/>
          <w:sz w:val="20"/>
          <w:szCs w:val="20"/>
          <w14:ligatures w14:val="none"/>
        </w:rPr>
        <w:t>kontraktsgjenstanden slik a</w:t>
      </w:r>
      <w:bookmarkEnd w:id="6"/>
      <w:r w:rsidRPr="0057018B">
        <w:rPr>
          <w:rFonts w:ascii="Palatino Linotype" w:eastAsia="Palatino Linotype" w:hAnsi="Palatino Linotype" w:cs="Verdana"/>
          <w:kern w:val="0"/>
          <w:sz w:val="20"/>
          <w:szCs w:val="20"/>
          <w14:ligatures w14:val="none"/>
        </w:rPr>
        <w:t>t sertifiseringsnivået oppnås for følgende revisjonsfaser; [</w:t>
      </w:r>
      <w:bookmarkStart w:id="7" w:name="_Hlk177131358"/>
      <w:r w:rsidR="005458DB" w:rsidRPr="005458DB">
        <w:rPr>
          <w:rFonts w:ascii="Palatino Linotype" w:eastAsia="Palatino Linotype" w:hAnsi="Palatino Linotype" w:cs="Verdana"/>
          <w:i/>
          <w:kern w:val="0"/>
          <w:sz w:val="20"/>
          <w:szCs w:val="20"/>
          <w:shd w:val="clear" w:color="auto" w:fill="F3E4B2"/>
          <w14:ligatures w14:val="none"/>
        </w:rPr>
        <w:t>l</w:t>
      </w:r>
      <w:r w:rsidRPr="0057018B">
        <w:rPr>
          <w:rFonts w:ascii="Palatino Linotype" w:eastAsia="Palatino Linotype" w:hAnsi="Palatino Linotype" w:cs="Verdana"/>
          <w:i/>
          <w:kern w:val="0"/>
          <w:sz w:val="20"/>
          <w:szCs w:val="20"/>
          <w:shd w:val="clear" w:color="auto" w:fill="F3E4B2"/>
          <w14:ligatures w14:val="none"/>
        </w:rPr>
        <w:t>egge inn revisjonsfase(</w:t>
      </w:r>
      <w:bookmarkEnd w:id="7"/>
      <w:r w:rsidRPr="0057018B">
        <w:rPr>
          <w:rFonts w:ascii="Palatino Linotype" w:eastAsia="Palatino Linotype" w:hAnsi="Palatino Linotype" w:cs="Verdana"/>
          <w:i/>
          <w:kern w:val="0"/>
          <w:sz w:val="20"/>
          <w:szCs w:val="20"/>
          <w:shd w:val="clear" w:color="auto" w:fill="F3E4B2"/>
          <w14:ligatures w14:val="none"/>
        </w:rPr>
        <w:t>r)</w:t>
      </w:r>
      <w:r w:rsidRPr="0057018B">
        <w:rPr>
          <w:rFonts w:ascii="Palatino Linotype" w:eastAsia="Palatino Linotype" w:hAnsi="Palatino Linotype" w:cs="Verdana"/>
          <w:kern w:val="0"/>
          <w:sz w:val="20"/>
          <w:szCs w:val="20"/>
          <w:shd w:val="clear" w:color="auto" w:fill="F3E4B2"/>
          <w14:ligatures w14:val="none"/>
        </w:rPr>
        <w:t>]</w:t>
      </w:r>
      <w:bookmarkStart w:id="8" w:name="_Hlk177131648"/>
    </w:p>
    <w:bookmarkEnd w:id="8"/>
    <w:p w14:paraId="0DB973FC"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skal oppfylle minstekravene i BREEAM-manualen som følger av avtalt sertifiseringsnivå. Innenfor det avtalte sertifiseringsnivået, skal totalentreprenøren også oppnå følgende krav og poeng:</w:t>
      </w:r>
    </w:p>
    <w:tbl>
      <w:tblPr>
        <w:tblStyle w:val="Rutenettabell1lysuthevingsfarge21"/>
        <w:tblW w:w="9634" w:type="dxa"/>
        <w:tblLayout w:type="fixed"/>
        <w:tblLook w:val="04A0" w:firstRow="1" w:lastRow="0" w:firstColumn="1" w:lastColumn="0" w:noHBand="0" w:noVBand="1"/>
      </w:tblPr>
      <w:tblGrid>
        <w:gridCol w:w="1696"/>
        <w:gridCol w:w="2268"/>
        <w:gridCol w:w="2268"/>
        <w:gridCol w:w="1276"/>
        <w:gridCol w:w="2126"/>
      </w:tblGrid>
      <w:tr w:rsidR="0057018B" w:rsidRPr="0057018B" w14:paraId="250D28E0" w14:textId="77777777" w:rsidTr="002A7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EA35268" w14:textId="77777777" w:rsidR="0057018B" w:rsidRPr="0057018B" w:rsidRDefault="0057018B" w:rsidP="0057018B">
            <w:pPr>
              <w:suppressAutoHyphens/>
              <w:spacing w:after="200" w:line="240" w:lineRule="atLeast"/>
              <w:rPr>
                <w:rFonts w:eastAsia="Palatino Linotype"/>
              </w:rPr>
            </w:pPr>
            <w:r w:rsidRPr="0057018B">
              <w:rPr>
                <w:rFonts w:eastAsia="Palatino Linotype"/>
              </w:rPr>
              <w:t xml:space="preserve">Kategori </w:t>
            </w:r>
          </w:p>
        </w:tc>
        <w:tc>
          <w:tcPr>
            <w:tcW w:w="2268" w:type="dxa"/>
          </w:tcPr>
          <w:p w14:paraId="7A9D1AAC" w14:textId="77777777" w:rsidR="0057018B" w:rsidRPr="0057018B" w:rsidRDefault="0057018B" w:rsidP="0057018B">
            <w:pPr>
              <w:suppressAutoHyphens/>
              <w:spacing w:after="200" w:line="240" w:lineRule="atLeast"/>
              <w:cnfStyle w:val="100000000000" w:firstRow="1" w:lastRow="0" w:firstColumn="0" w:lastColumn="0" w:oddVBand="0" w:evenVBand="0" w:oddHBand="0" w:evenHBand="0" w:firstRowFirstColumn="0" w:firstRowLastColumn="0" w:lastRowFirstColumn="0" w:lastRowLastColumn="0"/>
              <w:rPr>
                <w:rFonts w:eastAsia="Palatino Linotype"/>
              </w:rPr>
            </w:pPr>
            <w:r w:rsidRPr="0057018B">
              <w:rPr>
                <w:rFonts w:eastAsia="Palatino Linotype"/>
              </w:rPr>
              <w:t>Emne</w:t>
            </w:r>
          </w:p>
        </w:tc>
        <w:tc>
          <w:tcPr>
            <w:tcW w:w="2268" w:type="dxa"/>
          </w:tcPr>
          <w:p w14:paraId="78152FD8" w14:textId="77777777" w:rsidR="0057018B" w:rsidRPr="0057018B" w:rsidRDefault="0057018B" w:rsidP="0057018B">
            <w:pPr>
              <w:suppressAutoHyphens/>
              <w:spacing w:after="200" w:line="240" w:lineRule="atLeast"/>
              <w:cnfStyle w:val="100000000000" w:firstRow="1" w:lastRow="0" w:firstColumn="0" w:lastColumn="0" w:oddVBand="0" w:evenVBand="0" w:oddHBand="0" w:evenHBand="0" w:firstRowFirstColumn="0" w:firstRowLastColumn="0" w:lastRowFirstColumn="0" w:lastRowLastColumn="0"/>
              <w:rPr>
                <w:rFonts w:eastAsia="Palatino Linotype"/>
              </w:rPr>
            </w:pPr>
            <w:proofErr w:type="spellStart"/>
            <w:r w:rsidRPr="0057018B">
              <w:rPr>
                <w:rFonts w:eastAsia="Palatino Linotype"/>
              </w:rPr>
              <w:t>Revisjonskriterier</w:t>
            </w:r>
            <w:proofErr w:type="spellEnd"/>
          </w:p>
        </w:tc>
        <w:tc>
          <w:tcPr>
            <w:tcW w:w="1276" w:type="dxa"/>
          </w:tcPr>
          <w:p w14:paraId="5FD958F1" w14:textId="77777777" w:rsidR="0057018B" w:rsidRPr="0057018B" w:rsidRDefault="0057018B" w:rsidP="0057018B">
            <w:pPr>
              <w:suppressAutoHyphens/>
              <w:spacing w:after="200" w:line="240" w:lineRule="atLeast"/>
              <w:cnfStyle w:val="100000000000" w:firstRow="1" w:lastRow="0" w:firstColumn="0" w:lastColumn="0" w:oddVBand="0" w:evenVBand="0" w:oddHBand="0" w:evenHBand="0" w:firstRowFirstColumn="0" w:firstRowLastColumn="0" w:lastRowFirstColumn="0" w:lastRowLastColumn="0"/>
              <w:rPr>
                <w:rFonts w:eastAsia="Palatino Linotype"/>
              </w:rPr>
            </w:pPr>
            <w:proofErr w:type="spellStart"/>
            <w:r w:rsidRPr="0057018B">
              <w:rPr>
                <w:rFonts w:eastAsia="Palatino Linotype"/>
              </w:rPr>
              <w:t>Poengkrav</w:t>
            </w:r>
            <w:proofErr w:type="spellEnd"/>
          </w:p>
        </w:tc>
        <w:tc>
          <w:tcPr>
            <w:tcW w:w="2126" w:type="dxa"/>
          </w:tcPr>
          <w:p w14:paraId="30360FE9" w14:textId="77777777" w:rsidR="0057018B" w:rsidRPr="0057018B" w:rsidRDefault="0057018B" w:rsidP="0057018B">
            <w:pPr>
              <w:suppressAutoHyphens/>
              <w:spacing w:after="200" w:line="240" w:lineRule="atLeast"/>
              <w:cnfStyle w:val="100000000000" w:firstRow="1" w:lastRow="0" w:firstColumn="0" w:lastColumn="0" w:oddVBand="0" w:evenVBand="0" w:oddHBand="0" w:evenHBand="0" w:firstRowFirstColumn="0" w:firstRowLastColumn="0" w:lastRowFirstColumn="0" w:lastRowLastColumn="0"/>
              <w:rPr>
                <w:rFonts w:eastAsia="Palatino Linotype"/>
              </w:rPr>
            </w:pPr>
            <w:r w:rsidRPr="0057018B">
              <w:rPr>
                <w:rFonts w:eastAsia="Palatino Linotype"/>
              </w:rPr>
              <w:t>Kommentar</w:t>
            </w:r>
          </w:p>
        </w:tc>
      </w:tr>
      <w:tr w:rsidR="0057018B" w:rsidRPr="0057018B" w14:paraId="6B8A8164" w14:textId="77777777" w:rsidTr="002A70CC">
        <w:tc>
          <w:tcPr>
            <w:cnfStyle w:val="001000000000" w:firstRow="0" w:lastRow="0" w:firstColumn="1" w:lastColumn="0" w:oddVBand="0" w:evenVBand="0" w:oddHBand="0" w:evenHBand="0" w:firstRowFirstColumn="0" w:firstRowLastColumn="0" w:lastRowFirstColumn="0" w:lastRowLastColumn="0"/>
            <w:tcW w:w="1696" w:type="dxa"/>
          </w:tcPr>
          <w:p w14:paraId="4FAFBE86" w14:textId="6E1D56C8" w:rsidR="00873F72" w:rsidRPr="00873F72" w:rsidRDefault="006B12CA" w:rsidP="00873F72">
            <w:pPr>
              <w:suppressAutoHyphens/>
              <w:spacing w:after="200" w:line="240" w:lineRule="atLeast"/>
              <w:rPr>
                <w:rFonts w:eastAsia="Palatino Linotype"/>
                <w:shd w:val="clear" w:color="auto" w:fill="F3E4B2"/>
                <w:lang w:val="nb-NO"/>
              </w:rPr>
            </w:pPr>
            <w:r w:rsidRPr="00D438C0">
              <w:rPr>
                <w:rFonts w:eastAsia="Palatino Linotype"/>
                <w:shd w:val="clear" w:color="auto" w:fill="F3E4B2"/>
                <w:lang w:val="nb-NO"/>
              </w:rPr>
              <w:t>4.</w:t>
            </w:r>
            <w:r w:rsidR="00873F72">
              <w:rPr>
                <w:rFonts w:eastAsia="Palatino Linotype"/>
                <w:shd w:val="clear" w:color="auto" w:fill="F3E4B2"/>
                <w:lang w:val="nb-NO"/>
              </w:rPr>
              <w:t>Arealbruk og økologi</w:t>
            </w:r>
          </w:p>
          <w:p w14:paraId="04E5DAF1" w14:textId="07ABEB61" w:rsidR="0057018B" w:rsidRPr="00D438C0" w:rsidRDefault="0057018B" w:rsidP="000151D9">
            <w:pPr>
              <w:keepNext/>
              <w:keepLines/>
              <w:suppressAutoHyphens/>
              <w:spacing w:before="240" w:after="60" w:line="240" w:lineRule="atLeast"/>
              <w:ind w:left="794" w:hanging="794"/>
              <w:contextualSpacing/>
              <w:outlineLvl w:val="2"/>
              <w:rPr>
                <w:rFonts w:eastAsia="Palatino Linotype"/>
                <w:shd w:val="clear" w:color="auto" w:fill="F3E4B2"/>
                <w:lang w:val="nb-NO"/>
              </w:rPr>
            </w:pPr>
          </w:p>
        </w:tc>
        <w:tc>
          <w:tcPr>
            <w:tcW w:w="2268" w:type="dxa"/>
          </w:tcPr>
          <w:p w14:paraId="010D008F" w14:textId="20ADBD02"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shd w:val="clear" w:color="auto" w:fill="F3E4B2"/>
                <w:lang w:val="nb-NO"/>
              </w:rPr>
            </w:pPr>
            <w:r w:rsidRPr="00D438C0">
              <w:rPr>
                <w:rFonts w:eastAsia="Palatino Linotype"/>
                <w:shd w:val="clear" w:color="auto" w:fill="F3E4B2"/>
                <w:lang w:val="nb-NO"/>
              </w:rPr>
              <w:t>4.4 Endring og forbedring av biodiversitet</w:t>
            </w:r>
          </w:p>
        </w:tc>
        <w:tc>
          <w:tcPr>
            <w:tcW w:w="2268" w:type="dxa"/>
          </w:tcPr>
          <w:p w14:paraId="6ADB197B" w14:textId="4DC875AA" w:rsidR="0057018B" w:rsidRPr="0057018B"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shd w:val="clear" w:color="auto" w:fill="F3E4B2"/>
              </w:rPr>
            </w:pPr>
            <w:r>
              <w:rPr>
                <w:rFonts w:eastAsia="Palatino Linotype"/>
                <w:shd w:val="clear" w:color="auto" w:fill="F3E4B2"/>
              </w:rPr>
              <w:t xml:space="preserve">4.4.1 </w:t>
            </w:r>
            <w:proofErr w:type="spellStart"/>
            <w:r>
              <w:rPr>
                <w:rFonts w:eastAsia="Palatino Linotype"/>
                <w:shd w:val="clear" w:color="auto" w:fill="F3E4B2"/>
              </w:rPr>
              <w:t>Endringer</w:t>
            </w:r>
            <w:proofErr w:type="spellEnd"/>
            <w:r>
              <w:rPr>
                <w:rFonts w:eastAsia="Palatino Linotype"/>
                <w:shd w:val="clear" w:color="auto" w:fill="F3E4B2"/>
              </w:rPr>
              <w:t xml:space="preserve"> av økologisk </w:t>
            </w:r>
            <w:proofErr w:type="spellStart"/>
            <w:r>
              <w:rPr>
                <w:rFonts w:eastAsia="Palatino Linotype"/>
                <w:shd w:val="clear" w:color="auto" w:fill="F3E4B2"/>
              </w:rPr>
              <w:t>verdi</w:t>
            </w:r>
            <w:proofErr w:type="spellEnd"/>
          </w:p>
        </w:tc>
        <w:tc>
          <w:tcPr>
            <w:tcW w:w="1276" w:type="dxa"/>
          </w:tcPr>
          <w:p w14:paraId="726D71FA" w14:textId="1E56D8A5" w:rsidR="0057018B" w:rsidRPr="0057018B"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rPr>
            </w:pPr>
            <w:proofErr w:type="gramStart"/>
            <w:r>
              <w:rPr>
                <w:rFonts w:eastAsia="Palatino Linotype"/>
                <w:shd w:val="clear" w:color="auto" w:fill="F3E4B2"/>
              </w:rPr>
              <w:t>30</w:t>
            </w:r>
            <w:r w:rsidR="0057018B" w:rsidRPr="005822C1">
              <w:rPr>
                <w:rFonts w:eastAsia="Palatino Linotype"/>
                <w:shd w:val="clear" w:color="auto" w:fill="F3E4B2"/>
              </w:rPr>
              <w:t xml:space="preserve">  </w:t>
            </w:r>
            <w:proofErr w:type="spellStart"/>
            <w:r w:rsidR="0057018B" w:rsidRPr="005822C1">
              <w:rPr>
                <w:rFonts w:eastAsia="Palatino Linotype"/>
                <w:shd w:val="clear" w:color="auto" w:fill="F3E4B2"/>
              </w:rPr>
              <w:t>poeng</w:t>
            </w:r>
            <w:proofErr w:type="spellEnd"/>
            <w:proofErr w:type="gramEnd"/>
          </w:p>
        </w:tc>
        <w:tc>
          <w:tcPr>
            <w:tcW w:w="2126" w:type="dxa"/>
          </w:tcPr>
          <w:p w14:paraId="6BBA7795" w14:textId="3921E74E"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lang w:val="nb-NO"/>
              </w:rPr>
            </w:pPr>
            <w:r w:rsidRPr="00D438C0">
              <w:rPr>
                <w:rFonts w:eastAsia="Palatino Linotype"/>
                <w:shd w:val="clear" w:color="auto" w:fill="F3E4B2"/>
                <w:lang w:val="nb-NO"/>
              </w:rPr>
              <w:t>Det stilles krav til at det skal forekomme en netto økning av økologisk verdi gitt BREEAM metodikken.</w:t>
            </w:r>
          </w:p>
        </w:tc>
      </w:tr>
      <w:tr w:rsidR="0057018B" w:rsidRPr="0057018B" w14:paraId="290BA7DA" w14:textId="77777777" w:rsidTr="002A70CC">
        <w:tc>
          <w:tcPr>
            <w:cnfStyle w:val="001000000000" w:firstRow="0" w:lastRow="0" w:firstColumn="1" w:lastColumn="0" w:oddVBand="0" w:evenVBand="0" w:oddHBand="0" w:evenHBand="0" w:firstRowFirstColumn="0" w:firstRowLastColumn="0" w:lastRowFirstColumn="0" w:lastRowLastColumn="0"/>
            <w:tcW w:w="1696" w:type="dxa"/>
          </w:tcPr>
          <w:p w14:paraId="702089BD" w14:textId="306B4DF7" w:rsidR="0057018B" w:rsidRPr="0057018B" w:rsidRDefault="006B12CA" w:rsidP="0057018B">
            <w:pPr>
              <w:keepNext/>
              <w:keepLines/>
              <w:suppressAutoHyphens/>
              <w:spacing w:before="240" w:after="60" w:line="240" w:lineRule="atLeast"/>
              <w:ind w:left="794" w:hanging="794"/>
              <w:contextualSpacing/>
              <w:outlineLvl w:val="2"/>
              <w:rPr>
                <w:rFonts w:eastAsia="MS Gothic" w:cs="Times New Roman"/>
              </w:rPr>
            </w:pPr>
            <w:r w:rsidRPr="005822C1">
              <w:rPr>
                <w:rFonts w:eastAsia="Palatino Linotype" w:cstheme="minorBidi"/>
                <w:shd w:val="clear" w:color="auto" w:fill="F3E4B2"/>
              </w:rPr>
              <w:lastRenderedPageBreak/>
              <w:t xml:space="preserve">7 </w:t>
            </w:r>
            <w:proofErr w:type="spellStart"/>
            <w:r w:rsidRPr="005822C1">
              <w:rPr>
                <w:rFonts w:eastAsia="Palatino Linotype" w:cstheme="minorBidi"/>
                <w:shd w:val="clear" w:color="auto" w:fill="F3E4B2"/>
              </w:rPr>
              <w:t>Ressurser</w:t>
            </w:r>
            <w:proofErr w:type="spellEnd"/>
          </w:p>
        </w:tc>
        <w:tc>
          <w:tcPr>
            <w:tcW w:w="2268" w:type="dxa"/>
          </w:tcPr>
          <w:p w14:paraId="2B511790" w14:textId="724EDC88" w:rsidR="0057018B" w:rsidRPr="0057018B"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b/>
              </w:rPr>
            </w:pPr>
            <w:r>
              <w:rPr>
                <w:rFonts w:eastAsia="Palatino Linotype"/>
                <w:shd w:val="clear" w:color="auto" w:fill="F3E4B2"/>
              </w:rPr>
              <w:t xml:space="preserve">7.6 </w:t>
            </w:r>
            <w:proofErr w:type="spellStart"/>
            <w:r>
              <w:rPr>
                <w:rFonts w:eastAsia="Palatino Linotype"/>
                <w:shd w:val="clear" w:color="auto" w:fill="F3E4B2"/>
              </w:rPr>
              <w:t>Avfallshåndtering</w:t>
            </w:r>
            <w:proofErr w:type="spellEnd"/>
            <w:r>
              <w:rPr>
                <w:rFonts w:eastAsia="Palatino Linotype"/>
                <w:shd w:val="clear" w:color="auto" w:fill="F3E4B2"/>
              </w:rPr>
              <w:t xml:space="preserve"> i </w:t>
            </w:r>
            <w:proofErr w:type="spellStart"/>
            <w:r>
              <w:rPr>
                <w:rFonts w:eastAsia="Palatino Linotype"/>
                <w:shd w:val="clear" w:color="auto" w:fill="F3E4B2"/>
              </w:rPr>
              <w:t>anleggsfasen</w:t>
            </w:r>
            <w:proofErr w:type="spellEnd"/>
          </w:p>
        </w:tc>
        <w:tc>
          <w:tcPr>
            <w:tcW w:w="2268" w:type="dxa"/>
          </w:tcPr>
          <w:p w14:paraId="6101CB8C" w14:textId="04E7A388"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shd w:val="clear" w:color="auto" w:fill="F3E4B2"/>
                <w:lang w:val="nb-NO"/>
              </w:rPr>
            </w:pPr>
            <w:r w:rsidRPr="00D438C0">
              <w:rPr>
                <w:rFonts w:eastAsia="Palatino Linotype"/>
                <w:shd w:val="clear" w:color="auto" w:fill="F3E4B2"/>
                <w:lang w:val="nb-NO"/>
              </w:rPr>
              <w:t>7.6.5 Planlegging av avfallshåndtering ved anlegget – implementering</w:t>
            </w:r>
          </w:p>
        </w:tc>
        <w:tc>
          <w:tcPr>
            <w:tcW w:w="1276" w:type="dxa"/>
          </w:tcPr>
          <w:p w14:paraId="1CEAAAB4" w14:textId="59D109BA" w:rsidR="0057018B" w:rsidRPr="005822C1"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shd w:val="clear" w:color="auto" w:fill="F3E4B2"/>
              </w:rPr>
            </w:pPr>
            <w:proofErr w:type="gramStart"/>
            <w:r>
              <w:rPr>
                <w:rFonts w:eastAsia="Palatino Linotype"/>
                <w:shd w:val="clear" w:color="auto" w:fill="F3E4B2"/>
              </w:rPr>
              <w:t>16</w:t>
            </w:r>
            <w:r w:rsidRPr="005822C1">
              <w:rPr>
                <w:rFonts w:eastAsia="Palatino Linotype"/>
                <w:shd w:val="clear" w:color="auto" w:fill="F3E4B2"/>
              </w:rPr>
              <w:t xml:space="preserve">  </w:t>
            </w:r>
            <w:proofErr w:type="spellStart"/>
            <w:r w:rsidR="0057018B" w:rsidRPr="005822C1">
              <w:rPr>
                <w:rFonts w:eastAsia="Palatino Linotype"/>
                <w:shd w:val="clear" w:color="auto" w:fill="F3E4B2"/>
              </w:rPr>
              <w:t>poeng</w:t>
            </w:r>
            <w:proofErr w:type="spellEnd"/>
            <w:proofErr w:type="gramEnd"/>
          </w:p>
        </w:tc>
        <w:tc>
          <w:tcPr>
            <w:tcW w:w="2126" w:type="dxa"/>
          </w:tcPr>
          <w:p w14:paraId="71A383FE" w14:textId="23EBCAA8"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lang w:val="nb-NO"/>
              </w:rPr>
            </w:pPr>
            <w:r w:rsidRPr="00D438C0">
              <w:rPr>
                <w:rFonts w:eastAsia="Palatino Linotype"/>
                <w:shd w:val="clear" w:color="auto" w:fill="F3E4B2"/>
                <w:lang w:val="nb-NO"/>
              </w:rPr>
              <w:t xml:space="preserve">Avfallsplanen skal inneholde mål oppgitt i krav for avfallshåndtering spesifisert i </w:t>
            </w:r>
            <w:proofErr w:type="spellStart"/>
            <w:r w:rsidRPr="00D438C0">
              <w:rPr>
                <w:rFonts w:eastAsia="Palatino Linotype"/>
                <w:shd w:val="clear" w:color="auto" w:fill="F3E4B2"/>
                <w:lang w:val="nb-NO"/>
              </w:rPr>
              <w:t>kravspekken</w:t>
            </w:r>
            <w:proofErr w:type="spellEnd"/>
            <w:r w:rsidRPr="00D438C0">
              <w:rPr>
                <w:rFonts w:eastAsia="Palatino Linotype"/>
                <w:shd w:val="clear" w:color="auto" w:fill="F3E4B2"/>
                <w:lang w:val="nb-NO"/>
              </w:rPr>
              <w:t>, og disse målene skal dokumenteres at er nådd.</w:t>
            </w:r>
          </w:p>
        </w:tc>
      </w:tr>
      <w:tr w:rsidR="0057018B" w:rsidRPr="0057018B" w14:paraId="47D343EF" w14:textId="77777777" w:rsidTr="002A70CC">
        <w:tc>
          <w:tcPr>
            <w:cnfStyle w:val="001000000000" w:firstRow="0" w:lastRow="0" w:firstColumn="1" w:lastColumn="0" w:oddVBand="0" w:evenVBand="0" w:oddHBand="0" w:evenHBand="0" w:firstRowFirstColumn="0" w:firstRowLastColumn="0" w:lastRowFirstColumn="0" w:lastRowLastColumn="0"/>
            <w:tcW w:w="1696" w:type="dxa"/>
          </w:tcPr>
          <w:p w14:paraId="3F332459" w14:textId="436F1D0E" w:rsidR="0057018B" w:rsidRPr="00D438C0" w:rsidRDefault="0057018B" w:rsidP="0057018B">
            <w:pPr>
              <w:suppressAutoHyphens/>
              <w:spacing w:after="200" w:line="240" w:lineRule="atLeast"/>
              <w:rPr>
                <w:rFonts w:eastAsia="Palatino Linotype"/>
                <w:shd w:val="clear" w:color="auto" w:fill="F3E4B2"/>
                <w:lang w:val="nb-NO"/>
              </w:rPr>
            </w:pPr>
          </w:p>
        </w:tc>
        <w:tc>
          <w:tcPr>
            <w:tcW w:w="2268" w:type="dxa"/>
          </w:tcPr>
          <w:p w14:paraId="28062F1E" w14:textId="18BA7EED" w:rsidR="0057018B" w:rsidRPr="0057018B"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rPr>
            </w:pPr>
            <w:r>
              <w:rPr>
                <w:rFonts w:eastAsia="Palatino Linotype"/>
                <w:shd w:val="clear" w:color="auto" w:fill="F3E4B2"/>
              </w:rPr>
              <w:t>7.7 Energi</w:t>
            </w:r>
          </w:p>
        </w:tc>
        <w:tc>
          <w:tcPr>
            <w:tcW w:w="2268" w:type="dxa"/>
          </w:tcPr>
          <w:p w14:paraId="104A6200" w14:textId="6851CA17"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shd w:val="clear" w:color="auto" w:fill="F3E4B2"/>
                <w:lang w:val="nb-NO"/>
              </w:rPr>
            </w:pPr>
            <w:r w:rsidRPr="00D438C0">
              <w:rPr>
                <w:rFonts w:eastAsia="Palatino Linotype"/>
                <w:shd w:val="clear" w:color="auto" w:fill="F3E4B2"/>
                <w:lang w:val="nb-NO"/>
              </w:rPr>
              <w:t xml:space="preserve">7.7.4 </w:t>
            </w:r>
            <w:proofErr w:type="spellStart"/>
            <w:r w:rsidRPr="00D438C0">
              <w:rPr>
                <w:rFonts w:eastAsia="Palatino Linotype"/>
                <w:shd w:val="clear" w:color="auto" w:fill="F3E4B2"/>
                <w:lang w:val="nb-NO"/>
              </w:rPr>
              <w:t>Innarbeidimg</w:t>
            </w:r>
            <w:proofErr w:type="spellEnd"/>
            <w:r w:rsidRPr="00D438C0">
              <w:rPr>
                <w:rFonts w:eastAsia="Palatino Linotype"/>
                <w:shd w:val="clear" w:color="auto" w:fill="F3E4B2"/>
                <w:lang w:val="nb-NO"/>
              </w:rPr>
              <w:t xml:space="preserve"> av fornybar energi, lav- eller</w:t>
            </w:r>
            <w:r w:rsidR="002057C0" w:rsidRPr="00D438C0">
              <w:rPr>
                <w:rFonts w:eastAsia="Palatino Linotype"/>
                <w:shd w:val="clear" w:color="auto" w:fill="F3E4B2"/>
                <w:lang w:val="nb-NO"/>
              </w:rPr>
              <w:t xml:space="preserve"> </w:t>
            </w:r>
            <w:r w:rsidRPr="00D438C0">
              <w:rPr>
                <w:rFonts w:eastAsia="Palatino Linotype"/>
                <w:shd w:val="clear" w:color="auto" w:fill="F3E4B2"/>
                <w:lang w:val="nb-NO"/>
              </w:rPr>
              <w:t>nullutslippsenergi i driftsfasen</w:t>
            </w:r>
          </w:p>
        </w:tc>
        <w:tc>
          <w:tcPr>
            <w:tcW w:w="1276" w:type="dxa"/>
          </w:tcPr>
          <w:p w14:paraId="109E5426" w14:textId="46E65757" w:rsidR="0057018B" w:rsidRPr="0057018B" w:rsidDel="00652C84"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rPr>
            </w:pPr>
            <w:proofErr w:type="gramStart"/>
            <w:r>
              <w:rPr>
                <w:rFonts w:eastAsia="Palatino Linotype"/>
                <w:shd w:val="clear" w:color="auto" w:fill="F3E4B2"/>
              </w:rPr>
              <w:t>24</w:t>
            </w:r>
            <w:r w:rsidRPr="0057018B">
              <w:rPr>
                <w:rFonts w:eastAsia="Palatino Linotype"/>
              </w:rPr>
              <w:t xml:space="preserve"> </w:t>
            </w:r>
            <w:r w:rsidRPr="005822C1">
              <w:rPr>
                <w:rFonts w:eastAsia="Palatino Linotype"/>
                <w:shd w:val="clear" w:color="auto" w:fill="F3E4B2"/>
              </w:rPr>
              <w:t xml:space="preserve"> </w:t>
            </w:r>
            <w:proofErr w:type="spellStart"/>
            <w:r w:rsidR="0057018B" w:rsidRPr="005822C1">
              <w:rPr>
                <w:rFonts w:eastAsia="Palatino Linotype"/>
                <w:shd w:val="clear" w:color="auto" w:fill="F3E4B2"/>
              </w:rPr>
              <w:t>poeng</w:t>
            </w:r>
            <w:proofErr w:type="spellEnd"/>
            <w:proofErr w:type="gramEnd"/>
          </w:p>
        </w:tc>
        <w:tc>
          <w:tcPr>
            <w:tcW w:w="2126" w:type="dxa"/>
          </w:tcPr>
          <w:p w14:paraId="250EE77C" w14:textId="23E08040" w:rsidR="0057018B" w:rsidRPr="00D438C0" w:rsidRDefault="006B12CA" w:rsidP="0057018B">
            <w:pPr>
              <w:suppressAutoHyphens/>
              <w:spacing w:after="200" w:line="240" w:lineRule="atLeast"/>
              <w:cnfStyle w:val="000000000000" w:firstRow="0" w:lastRow="0" w:firstColumn="0" w:lastColumn="0" w:oddVBand="0" w:evenVBand="0" w:oddHBand="0" w:evenHBand="0" w:firstRowFirstColumn="0" w:firstRowLastColumn="0" w:lastRowFirstColumn="0" w:lastRowLastColumn="0"/>
              <w:rPr>
                <w:rFonts w:eastAsia="Palatino Linotype"/>
                <w:lang w:val="nb-NO"/>
              </w:rPr>
            </w:pPr>
            <w:r w:rsidRPr="00D438C0">
              <w:rPr>
                <w:rFonts w:eastAsia="Palatino Linotype"/>
                <w:shd w:val="clear" w:color="auto" w:fill="F3E4B2"/>
                <w:lang w:val="nb-NO"/>
              </w:rPr>
              <w:t xml:space="preserve">Det settes krav til at 20 % eller mer av tiltakene som er gitt i fagnotatet "fornybar energi i drift" </w:t>
            </w:r>
            <w:proofErr w:type="gramStart"/>
            <w:r w:rsidRPr="00D438C0">
              <w:rPr>
                <w:rFonts w:eastAsia="Palatino Linotype"/>
                <w:shd w:val="clear" w:color="auto" w:fill="F3E4B2"/>
                <w:lang w:val="nb-NO"/>
              </w:rPr>
              <w:t>implementeres</w:t>
            </w:r>
            <w:proofErr w:type="gramEnd"/>
            <w:r w:rsidRPr="00D438C0">
              <w:rPr>
                <w:rFonts w:eastAsia="Palatino Linotype"/>
                <w:shd w:val="clear" w:color="auto" w:fill="F3E4B2"/>
                <w:lang w:val="nb-NO"/>
              </w:rPr>
              <w:t>.</w:t>
            </w:r>
          </w:p>
        </w:tc>
      </w:tr>
    </w:tbl>
    <w:p w14:paraId="0EE1F108" w14:textId="77777777" w:rsidR="0057018B" w:rsidRPr="0057018B" w:rsidRDefault="0057018B" w:rsidP="0057018B">
      <w:pPr>
        <w:suppressAutoHyphens/>
        <w:spacing w:after="0" w:line="240" w:lineRule="atLeast"/>
        <w:jc w:val="both"/>
        <w:rPr>
          <w:rFonts w:ascii="Palatino Linotype" w:eastAsia="Palatino Linotype" w:hAnsi="Palatino Linotype" w:cs="Verdana"/>
          <w:kern w:val="0"/>
          <w:sz w:val="20"/>
          <w:szCs w:val="20"/>
          <w:highlight w:val="yellow"/>
          <w14:ligatures w14:val="none"/>
        </w:rPr>
      </w:pPr>
    </w:p>
    <w:p w14:paraId="0CE88525" w14:textId="0DB17CF3" w:rsidR="0057018B" w:rsidRPr="0057018B" w:rsidRDefault="0057018B" w:rsidP="0057018B">
      <w:pPr>
        <w:shd w:val="clear" w:color="auto" w:fill="EFEEEC"/>
        <w:suppressAutoHyphens/>
        <w:spacing w:after="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shd w:val="clear" w:color="auto" w:fill="EFEEEC"/>
          <w14:ligatures w14:val="none"/>
        </w:rPr>
        <w:t>Forklaring til tabell som slettes: Teksten med gul markering er ment å være veiledende eksempler. Disse tekstfeltene må tilpasses og utfylles for det enkelte prosjekt, og samordnes med en eventuell pre-analyse. Kolonnen lengst til høyere kan benyttes hvis byggherren krever at entreprenøren oppfyller spesifikke punkter der det er alternativer eller det er krav til poeng i de enkelte revisjonsfasene.</w:t>
      </w:r>
      <w:r w:rsidRPr="0057018B">
        <w:rPr>
          <w:rFonts w:ascii="Palatino Linotype" w:eastAsia="Palatino Linotype" w:hAnsi="Palatino Linotype" w:cs="Verdana"/>
          <w:kern w:val="0"/>
          <w:sz w:val="20"/>
          <w:szCs w:val="20"/>
          <w14:ligatures w14:val="none"/>
        </w:rPr>
        <w:t>]</w:t>
      </w:r>
    </w:p>
    <w:p w14:paraId="4F48899F" w14:textId="77777777" w:rsidR="0057018B" w:rsidRPr="0057018B" w:rsidRDefault="0057018B" w:rsidP="0057018B">
      <w:pPr>
        <w:suppressAutoHyphens/>
        <w:spacing w:after="0" w:line="240" w:lineRule="atLeast"/>
        <w:jc w:val="both"/>
        <w:rPr>
          <w:rFonts w:ascii="Palatino Linotype" w:eastAsia="Palatino Linotype" w:hAnsi="Palatino Linotype" w:cs="Verdana"/>
          <w:kern w:val="0"/>
          <w:sz w:val="20"/>
          <w:szCs w:val="20"/>
          <w14:ligatures w14:val="none"/>
        </w:rPr>
      </w:pPr>
    </w:p>
    <w:p w14:paraId="2CD486E8" w14:textId="77777777" w:rsidR="0057018B" w:rsidRDefault="0057018B" w:rsidP="0057018B">
      <w:pPr>
        <w:suppressAutoHyphens/>
        <w:spacing w:after="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Assessor vurderer om revisjonskriteriene anses dokumentert og om poeng er oppnådd. Verifiserer </w:t>
      </w:r>
      <w:proofErr w:type="spellStart"/>
      <w:r w:rsidRPr="0057018B">
        <w:rPr>
          <w:rFonts w:ascii="Palatino Linotype" w:eastAsia="Palatino Linotype" w:hAnsi="Palatino Linotype" w:cs="Verdana"/>
          <w:kern w:val="0"/>
          <w:sz w:val="20"/>
          <w:szCs w:val="20"/>
          <w14:ligatures w14:val="none"/>
        </w:rPr>
        <w:t>kvalitetssikrer</w:t>
      </w:r>
      <w:proofErr w:type="spellEnd"/>
      <w:r w:rsidRPr="0057018B">
        <w:rPr>
          <w:rFonts w:ascii="Palatino Linotype" w:eastAsia="Palatino Linotype" w:hAnsi="Palatino Linotype" w:cs="Verdana"/>
          <w:kern w:val="0"/>
          <w:sz w:val="20"/>
          <w:szCs w:val="20"/>
          <w14:ligatures w14:val="none"/>
        </w:rPr>
        <w:t xml:space="preserve"> og evaluerer assessors arbeid, og overleverer til BRE for ratifisering. Ratifiserer godkjenner </w:t>
      </w:r>
      <w:proofErr w:type="spellStart"/>
      <w:r w:rsidRPr="0057018B">
        <w:rPr>
          <w:rFonts w:ascii="Palatino Linotype" w:eastAsia="Palatino Linotype" w:hAnsi="Palatino Linotype" w:cs="Verdana"/>
          <w:kern w:val="0"/>
          <w:sz w:val="20"/>
          <w:szCs w:val="20"/>
          <w14:ligatures w14:val="none"/>
        </w:rPr>
        <w:t>verifisererens</w:t>
      </w:r>
      <w:proofErr w:type="spellEnd"/>
      <w:r w:rsidRPr="0057018B">
        <w:rPr>
          <w:rFonts w:ascii="Palatino Linotype" w:eastAsia="Palatino Linotype" w:hAnsi="Palatino Linotype" w:cs="Verdana"/>
          <w:kern w:val="0"/>
          <w:sz w:val="20"/>
          <w:szCs w:val="20"/>
          <w14:ligatures w14:val="none"/>
        </w:rPr>
        <w:t xml:space="preserve"> arbeid, foretar endelig godkjenning av dokumentasjonen og BRE utsteder sertifikat for revisjonsfasen om vilkårene for det er oppfylt.</w:t>
      </w:r>
    </w:p>
    <w:p w14:paraId="06257862" w14:textId="77777777" w:rsidR="000D0C0F" w:rsidRPr="0057018B" w:rsidRDefault="000D0C0F" w:rsidP="0057018B">
      <w:pPr>
        <w:suppressAutoHyphens/>
        <w:spacing w:after="0" w:line="240" w:lineRule="atLeast"/>
        <w:jc w:val="both"/>
        <w:rPr>
          <w:rFonts w:ascii="Palatino Linotype" w:eastAsia="Palatino Linotype" w:hAnsi="Palatino Linotype" w:cs="Verdana"/>
          <w:kern w:val="0"/>
          <w:sz w:val="20"/>
          <w:szCs w:val="20"/>
          <w14:ligatures w14:val="none"/>
        </w:rPr>
      </w:pPr>
    </w:p>
    <w:p w14:paraId="70484C91" w14:textId="609A247D"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t>C.</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Samarbeid og samordning (NS 8407 pkt. 3)</w:t>
      </w:r>
    </w:p>
    <w:p w14:paraId="20AE5229" w14:textId="136D7FD9"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Byggherren og totalentreprenøren skal ha et åpent og tillitsbasert samarbeid for å optimalisere gjennomføringen av BREEAM-prosessen og sikre oppnåelse av de avtalte </w:t>
      </w:r>
      <w:proofErr w:type="spellStart"/>
      <w:r w:rsidR="00BF3D1D">
        <w:rPr>
          <w:rFonts w:ascii="Palatino Linotype" w:eastAsia="Palatino Linotype" w:hAnsi="Palatino Linotype" w:cs="Verdana"/>
          <w:kern w:val="0"/>
          <w:sz w:val="20"/>
          <w:szCs w:val="20"/>
          <w14:ligatures w14:val="none"/>
        </w:rPr>
        <w:t>bærekrafts</w:t>
      </w:r>
      <w:r w:rsidR="00035830">
        <w:rPr>
          <w:rFonts w:ascii="Palatino Linotype" w:eastAsia="Palatino Linotype" w:hAnsi="Palatino Linotype" w:cs="Verdana"/>
          <w:kern w:val="0"/>
          <w:sz w:val="20"/>
          <w:szCs w:val="20"/>
          <w14:ligatures w14:val="none"/>
        </w:rPr>
        <w:t>målene</w:t>
      </w:r>
      <w:proofErr w:type="spellEnd"/>
      <w:r w:rsidR="00BF3D1D" w:rsidRPr="0057018B">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 xml:space="preserve">i prosjektet. </w:t>
      </w:r>
    </w:p>
    <w:p w14:paraId="5A92AF8E"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shd w:val="clear" w:color="auto" w:fill="F3E4B2"/>
          <w14:ligatures w14:val="none"/>
        </w:rPr>
        <w:t>Hvis relevant</w:t>
      </w:r>
      <w:r w:rsidRPr="0057018B">
        <w:rPr>
          <w:rFonts w:ascii="Palatino Linotype" w:eastAsia="Palatino Linotype" w:hAnsi="Palatino Linotype" w:cs="Verdana"/>
          <w:kern w:val="0"/>
          <w:sz w:val="20"/>
          <w:szCs w:val="20"/>
          <w:shd w:val="clear" w:color="auto" w:fill="F3E4B2"/>
          <w14:ligatures w14:val="none"/>
        </w:rPr>
        <w:t>: Partene har gjennomført en samspillsfase med formål om å utarbeide en felles strategi for hvordan ønsket sertifisering og kvaliteter skal oppnås.</w:t>
      </w:r>
      <w:r w:rsidRPr="0057018B">
        <w:rPr>
          <w:rFonts w:ascii="Palatino Linotype" w:eastAsia="Palatino Linotype" w:hAnsi="Palatino Linotype" w:cs="Verdana"/>
          <w:kern w:val="0"/>
          <w:sz w:val="20"/>
          <w:szCs w:val="20"/>
          <w14:ligatures w14:val="none"/>
        </w:rPr>
        <w:t>]</w:t>
      </w:r>
    </w:p>
    <w:p w14:paraId="4865D16C"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skal sørge for å videreføre relevante krav til sertifiseringsnivå og BREEAM-kvaliteter i avtalene med sine kontraktsmedhjelpere.</w:t>
      </w:r>
    </w:p>
    <w:p w14:paraId="051FF939" w14:textId="362CF425"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9" w:name="_Ref164848466"/>
      <w:r>
        <w:rPr>
          <w:rFonts w:ascii="Palatino Linotype" w:eastAsia="MS Gothic" w:hAnsi="Palatino Linotype" w:cs="Times New Roman"/>
          <w:b/>
          <w:bCs/>
          <w:kern w:val="0"/>
          <w:sz w:val="20"/>
          <w:szCs w:val="26"/>
          <w14:ligatures w14:val="none"/>
        </w:rPr>
        <w:t>D.</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Organisering og kostnader</w:t>
      </w:r>
      <w:bookmarkEnd w:id="9"/>
    </w:p>
    <w:p w14:paraId="36A8C325" w14:textId="0D4EEC4F"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Prosjektet skal ha assessor for BREEAM-ytelsen. </w:t>
      </w:r>
      <w:r w:rsidR="00D441F4">
        <w:rPr>
          <w:rFonts w:ascii="Palatino Linotype" w:eastAsia="Palatino Linotype" w:hAnsi="Palatino Linotype" w:cs="Verdana"/>
          <w:kern w:val="0"/>
          <w:sz w:val="20"/>
          <w:szCs w:val="20"/>
          <w14:ligatures w14:val="none"/>
        </w:rPr>
        <w:t>Asses</w:t>
      </w:r>
      <w:r w:rsidR="00BD3F69">
        <w:rPr>
          <w:rFonts w:ascii="Palatino Linotype" w:eastAsia="Palatino Linotype" w:hAnsi="Palatino Linotype" w:cs="Verdana"/>
          <w:kern w:val="0"/>
          <w:sz w:val="20"/>
          <w:szCs w:val="20"/>
          <w14:ligatures w14:val="none"/>
        </w:rPr>
        <w:t>sor engasjeres og k</w:t>
      </w:r>
      <w:r w:rsidRPr="0057018B">
        <w:rPr>
          <w:rFonts w:ascii="Palatino Linotype" w:eastAsia="Palatino Linotype" w:hAnsi="Palatino Linotype" w:cs="Verdana"/>
          <w:kern w:val="0"/>
          <w:sz w:val="20"/>
          <w:szCs w:val="20"/>
          <w14:ligatures w14:val="none"/>
        </w:rPr>
        <w:t>ostnadene til assessor betales av [</w:t>
      </w:r>
      <w:bookmarkStart w:id="10" w:name="_Hlk164851644"/>
      <w:r w:rsidRPr="0057018B">
        <w:rPr>
          <w:rFonts w:ascii="Palatino Linotype" w:eastAsia="Palatino Linotype" w:hAnsi="Palatino Linotype" w:cs="Verdana"/>
          <w:kern w:val="0"/>
          <w:sz w:val="20"/>
          <w:szCs w:val="20"/>
          <w:shd w:val="clear" w:color="auto" w:fill="F3E4B2"/>
          <w14:ligatures w14:val="none"/>
        </w:rPr>
        <w:t>legge inn</w:t>
      </w:r>
      <w:bookmarkEnd w:id="10"/>
      <w:r w:rsidRPr="0057018B">
        <w:rPr>
          <w:rFonts w:ascii="Palatino Linotype" w:eastAsia="Palatino Linotype" w:hAnsi="Palatino Linotype" w:cs="Verdana"/>
          <w:kern w:val="0"/>
          <w:sz w:val="20"/>
          <w:szCs w:val="20"/>
          <w14:ligatures w14:val="none"/>
        </w:rPr>
        <w:t>].</w:t>
      </w:r>
    </w:p>
    <w:p w14:paraId="03532834"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Assessor skal, i samarbeid med prosjektet, sørge for at prosjektet er registrert hos BRE, og er kontaktpunkt mot verifiserer og BRE. BRE tar en avgift for å registrere prosjektet og verifisere.  Registreringsavgift og kostnader forbundet med verifisering og ratifisering dekkes av [</w:t>
      </w:r>
      <w:r w:rsidRPr="0057018B">
        <w:rPr>
          <w:rFonts w:ascii="Palatino Linotype" w:eastAsia="Palatino Linotype" w:hAnsi="Palatino Linotype" w:cs="Verdana"/>
          <w:kern w:val="0"/>
          <w:sz w:val="20"/>
          <w:szCs w:val="20"/>
          <w:shd w:val="clear" w:color="auto" w:fill="F3E4B2"/>
          <w14:ligatures w14:val="none"/>
        </w:rPr>
        <w:t>legge inn</w:t>
      </w:r>
      <w:r w:rsidRPr="0057018B">
        <w:rPr>
          <w:rFonts w:ascii="Palatino Linotype" w:eastAsia="Palatino Linotype" w:hAnsi="Palatino Linotype" w:cs="Verdana"/>
          <w:kern w:val="0"/>
          <w:sz w:val="20"/>
          <w:szCs w:val="20"/>
          <w14:ligatures w14:val="none"/>
        </w:rPr>
        <w:t>].</w:t>
      </w:r>
    </w:p>
    <w:p w14:paraId="31F07B18" w14:textId="7729A99C" w:rsidR="004A2937" w:rsidRPr="0057018B" w:rsidRDefault="004A2937"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4A2937">
        <w:rPr>
          <w:rFonts w:ascii="Palatino Linotype" w:eastAsia="Palatino Linotype" w:hAnsi="Palatino Linotype" w:cs="Verdana"/>
          <w:kern w:val="0"/>
          <w:sz w:val="20"/>
          <w:szCs w:val="20"/>
          <w14:ligatures w14:val="none"/>
        </w:rPr>
        <w:t xml:space="preserve">Assessor samler inn dokumentasjon </w:t>
      </w:r>
      <w:r w:rsidR="002B2F2D">
        <w:rPr>
          <w:rFonts w:ascii="Palatino Linotype" w:eastAsia="Palatino Linotype" w:hAnsi="Palatino Linotype" w:cs="Verdana"/>
          <w:kern w:val="0"/>
          <w:sz w:val="20"/>
          <w:szCs w:val="20"/>
          <w14:ligatures w14:val="none"/>
        </w:rPr>
        <w:t>med</w:t>
      </w:r>
      <w:r w:rsidRPr="004A2937">
        <w:rPr>
          <w:rFonts w:ascii="Palatino Linotype" w:eastAsia="Palatino Linotype" w:hAnsi="Palatino Linotype" w:cs="Verdana"/>
          <w:kern w:val="0"/>
          <w:sz w:val="20"/>
          <w:szCs w:val="20"/>
          <w14:ligatures w14:val="none"/>
        </w:rPr>
        <w:t xml:space="preserve"> tilhørende forklaringstekst som </w:t>
      </w:r>
      <w:r w:rsidR="00483F7B">
        <w:rPr>
          <w:rFonts w:ascii="Palatino Linotype" w:eastAsia="Palatino Linotype" w:hAnsi="Palatino Linotype" w:cs="Verdana"/>
          <w:kern w:val="0"/>
          <w:sz w:val="20"/>
          <w:szCs w:val="20"/>
          <w14:ligatures w14:val="none"/>
        </w:rPr>
        <w:t>legges</w:t>
      </w:r>
      <w:r w:rsidRPr="004A2937">
        <w:rPr>
          <w:rFonts w:ascii="Palatino Linotype" w:eastAsia="Palatino Linotype" w:hAnsi="Palatino Linotype" w:cs="Verdana"/>
          <w:kern w:val="0"/>
          <w:sz w:val="20"/>
          <w:szCs w:val="20"/>
          <w14:ligatures w14:val="none"/>
        </w:rPr>
        <w:t xml:space="preserve"> inn i sertifiseringsportalen, og avklare</w:t>
      </w:r>
      <w:r w:rsidR="00A41780">
        <w:rPr>
          <w:rFonts w:ascii="Palatino Linotype" w:eastAsia="Palatino Linotype" w:hAnsi="Palatino Linotype" w:cs="Verdana"/>
          <w:kern w:val="0"/>
          <w:sz w:val="20"/>
          <w:szCs w:val="20"/>
          <w14:ligatures w14:val="none"/>
        </w:rPr>
        <w:t>r</w:t>
      </w:r>
      <w:r w:rsidR="0029265D">
        <w:rPr>
          <w:rFonts w:ascii="Palatino Linotype" w:eastAsia="Palatino Linotype" w:hAnsi="Palatino Linotype" w:cs="Verdana"/>
          <w:kern w:val="0"/>
          <w:sz w:val="20"/>
          <w:szCs w:val="20"/>
          <w14:ligatures w14:val="none"/>
        </w:rPr>
        <w:t xml:space="preserve"> med aktørene</w:t>
      </w:r>
      <w:r w:rsidRPr="004A2937">
        <w:rPr>
          <w:rFonts w:ascii="Palatino Linotype" w:eastAsia="Palatino Linotype" w:hAnsi="Palatino Linotype" w:cs="Verdana"/>
          <w:kern w:val="0"/>
          <w:sz w:val="20"/>
          <w:szCs w:val="20"/>
          <w14:ligatures w14:val="none"/>
        </w:rPr>
        <w:t xml:space="preserve"> formatet dokumentasjonen leveres på og når assessor må ha det tilgjengelig.</w:t>
      </w:r>
    </w:p>
    <w:p w14:paraId="55B12EB5" w14:textId="44B3C5EE"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lastRenderedPageBreak/>
        <w:t>På bakgrunn av dokumentasjonen og kravene i BREEAM-manualen skal assessor</w:t>
      </w:r>
      <w:r w:rsidR="004031DF">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tildele prosjektet poeng. Assessors arbeid kvalitet</w:t>
      </w:r>
      <w:r w:rsidR="00D550BF">
        <w:rPr>
          <w:rFonts w:ascii="Palatino Linotype" w:eastAsia="Palatino Linotype" w:hAnsi="Palatino Linotype" w:cs="Verdana"/>
          <w:kern w:val="0"/>
          <w:sz w:val="20"/>
          <w:szCs w:val="20"/>
          <w14:ligatures w14:val="none"/>
        </w:rPr>
        <w:t>s</w:t>
      </w:r>
      <w:r w:rsidRPr="0057018B">
        <w:rPr>
          <w:rFonts w:ascii="Palatino Linotype" w:eastAsia="Palatino Linotype" w:hAnsi="Palatino Linotype" w:cs="Verdana"/>
          <w:kern w:val="0"/>
          <w:sz w:val="20"/>
          <w:szCs w:val="20"/>
          <w14:ligatures w14:val="none"/>
        </w:rPr>
        <w:t>sikres og kontrolleres av verifiserer.</w:t>
      </w:r>
    </w:p>
    <w:p w14:paraId="0959C9AC"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shd w:val="clear" w:color="auto" w:fill="F3E4B2"/>
          <w14:ligatures w14:val="none"/>
        </w:rPr>
        <w:t>Hvis relevant</w:t>
      </w:r>
      <w:r w:rsidRPr="0057018B">
        <w:rPr>
          <w:rFonts w:ascii="Palatino Linotype" w:eastAsia="Palatino Linotype" w:hAnsi="Palatino Linotype" w:cs="Verdana"/>
          <w:kern w:val="0"/>
          <w:sz w:val="20"/>
          <w:szCs w:val="20"/>
          <w:shd w:val="clear" w:color="auto" w:fill="F3E4B2"/>
          <w14:ligatures w14:val="none"/>
        </w:rPr>
        <w:t>: Assessor engasjert av byggherren skal tiltransporteres totalentreprenøren etter reglene i NS 8407 pkt. 13.</w:t>
      </w:r>
      <w:r w:rsidRPr="0057018B">
        <w:rPr>
          <w:rFonts w:ascii="Palatino Linotype" w:eastAsia="Palatino Linotype" w:hAnsi="Palatino Linotype" w:cs="Verdana"/>
          <w:kern w:val="0"/>
          <w:sz w:val="20"/>
          <w:szCs w:val="20"/>
          <w14:ligatures w14:val="none"/>
        </w:rPr>
        <w:t>]</w:t>
      </w:r>
    </w:p>
    <w:p w14:paraId="549A7EE2"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plikter å engasjere nødvendige fageksperter for å oppnå sertifiseringsnivå og oppfylle kravene til BREEAM-kvaliteter. Kostnadene til fageksperter dekkes av totalentreprenøren.</w:t>
      </w:r>
    </w:p>
    <w:p w14:paraId="4602952B"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bookmarkStart w:id="11" w:name="_Hlk159485669"/>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shd w:val="clear" w:color="auto" w:fill="F3E4B2"/>
          <w14:ligatures w14:val="none"/>
        </w:rPr>
        <w:t>Hvis relevant</w:t>
      </w:r>
      <w:r w:rsidRPr="0057018B">
        <w:rPr>
          <w:rFonts w:ascii="Palatino Linotype" w:eastAsia="Palatino Linotype" w:hAnsi="Palatino Linotype" w:cs="Verdana"/>
          <w:kern w:val="0"/>
          <w:sz w:val="20"/>
          <w:szCs w:val="20"/>
          <w:shd w:val="clear" w:color="auto" w:fill="F3E4B2"/>
          <w14:ligatures w14:val="none"/>
        </w:rPr>
        <w:t>: Fageksperter engasjert av byggherren skal tiltransporteres totalentreprenøren etter reglene i NS 8407 pkt. 13.</w:t>
      </w:r>
      <w:r w:rsidRPr="0057018B">
        <w:rPr>
          <w:rFonts w:ascii="Palatino Linotype" w:eastAsia="Palatino Linotype" w:hAnsi="Palatino Linotype" w:cs="Verdana"/>
          <w:kern w:val="0"/>
          <w:sz w:val="20"/>
          <w:szCs w:val="20"/>
          <w14:ligatures w14:val="none"/>
        </w:rPr>
        <w:t>]</w:t>
      </w:r>
    </w:p>
    <w:bookmarkEnd w:id="11"/>
    <w:p w14:paraId="6C217021" w14:textId="4CD7D36F"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t>E.</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Gjennomføring</w:t>
      </w:r>
    </w:p>
    <w:p w14:paraId="59D79633" w14:textId="28E46AFD"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r>
        <w:rPr>
          <w:rFonts w:ascii="Palatino Linotype" w:eastAsia="MS Gothic" w:hAnsi="Palatino Linotype" w:cs="Times New Roman"/>
          <w:b/>
          <w:bCs/>
          <w:kern w:val="0"/>
          <w:sz w:val="20"/>
          <w:szCs w:val="20"/>
          <w14:ligatures w14:val="none"/>
        </w:rPr>
        <w:t>E.1</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Prosjekterings- og byggherremøter (NS 8407 pkt. 4.2)</w:t>
      </w:r>
    </w:p>
    <w:p w14:paraId="3EAA183D"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Forhold av betydning for sertifiseringen og BREEAM-ytelsen skal behandles i både prosjekterings- og byggherremøter. </w:t>
      </w:r>
    </w:p>
    <w:p w14:paraId="1E70C3B7"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shd w:val="clear" w:color="auto" w:fill="F3E4B2"/>
          <w14:ligatures w14:val="none"/>
        </w:rPr>
        <w:t>Hvis relevant</w:t>
      </w:r>
      <w:r w:rsidRPr="0057018B">
        <w:rPr>
          <w:rFonts w:ascii="Palatino Linotype" w:eastAsia="Palatino Linotype" w:hAnsi="Palatino Linotype" w:cs="Verdana"/>
          <w:kern w:val="0"/>
          <w:sz w:val="20"/>
          <w:szCs w:val="20"/>
          <w:shd w:val="clear" w:color="auto" w:fill="F3E4B2"/>
          <w14:ligatures w14:val="none"/>
        </w:rPr>
        <w:t>: Assessor og/eller fageksperter skal delta på prosjekterings- og byggherremøtene i den grad det anses nødvendig.</w:t>
      </w:r>
      <w:r w:rsidRPr="0057018B">
        <w:rPr>
          <w:rFonts w:ascii="Palatino Linotype" w:eastAsia="Palatino Linotype" w:hAnsi="Palatino Linotype" w:cs="Verdana"/>
          <w:kern w:val="0"/>
          <w:sz w:val="20"/>
          <w:szCs w:val="20"/>
          <w14:ligatures w14:val="none"/>
        </w:rPr>
        <w:t>]</w:t>
      </w:r>
    </w:p>
    <w:p w14:paraId="6710F801" w14:textId="358BE611"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bookmarkStart w:id="12" w:name="_Ref67490303"/>
      <w:r>
        <w:rPr>
          <w:rFonts w:ascii="Palatino Linotype" w:eastAsia="MS Gothic" w:hAnsi="Palatino Linotype" w:cs="Times New Roman"/>
          <w:b/>
          <w:bCs/>
          <w:kern w:val="0"/>
          <w:sz w:val="20"/>
          <w:szCs w:val="20"/>
          <w14:ligatures w14:val="none"/>
        </w:rPr>
        <w:t>E.2</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Krav til dokumentasjon</w:t>
      </w:r>
      <w:bookmarkEnd w:id="12"/>
    </w:p>
    <w:p w14:paraId="110724DE"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For å oppnå poeng i BREEAM Infrastructure, må det dokumenteres at relevante revisjonskriterier er oppfylt. BREEAM-manualen inneholder eksempler på dokumentasjonskrav. </w:t>
      </w:r>
    </w:p>
    <w:p w14:paraId="5A1E1EB5" w14:textId="08E427CB"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plikter å utarbeide dokumentasjon</w:t>
      </w:r>
      <w:r w:rsidR="00782148">
        <w:rPr>
          <w:rFonts w:ascii="Palatino Linotype" w:eastAsia="Palatino Linotype" w:hAnsi="Palatino Linotype" w:cs="Verdana"/>
          <w:kern w:val="0"/>
          <w:sz w:val="20"/>
          <w:szCs w:val="20"/>
          <w14:ligatures w14:val="none"/>
        </w:rPr>
        <w:t xml:space="preserve"> </w:t>
      </w:r>
      <w:r w:rsidR="006633F9">
        <w:rPr>
          <w:rFonts w:ascii="Palatino Linotype" w:eastAsia="Palatino Linotype" w:hAnsi="Palatino Linotype" w:cs="Verdana"/>
          <w:kern w:val="0"/>
          <w:sz w:val="20"/>
          <w:szCs w:val="20"/>
          <w14:ligatures w14:val="none"/>
        </w:rPr>
        <w:t>med</w:t>
      </w:r>
      <w:r w:rsidR="00782148">
        <w:rPr>
          <w:rFonts w:ascii="Palatino Linotype" w:eastAsia="Palatino Linotype" w:hAnsi="Palatino Linotype" w:cs="Verdana"/>
          <w:kern w:val="0"/>
          <w:sz w:val="20"/>
          <w:szCs w:val="20"/>
          <w14:ligatures w14:val="none"/>
        </w:rPr>
        <w:t xml:space="preserve"> tilhørende forklaringstekst</w:t>
      </w:r>
      <w:r w:rsidRPr="0057018B">
        <w:rPr>
          <w:rFonts w:ascii="Palatino Linotype" w:eastAsia="Palatino Linotype" w:hAnsi="Palatino Linotype" w:cs="Verdana"/>
          <w:kern w:val="0"/>
          <w:sz w:val="20"/>
          <w:szCs w:val="20"/>
          <w14:ligatures w14:val="none"/>
        </w:rPr>
        <w:t xml:space="preserve"> som oppfyller kravene til avtalt sertifiseringsnivå og øvrige krav til BREEAM-ytelsen. Dokumentasjonen skal oppfylle alle krav til form og kvalitet som </w:t>
      </w:r>
      <w:proofErr w:type="gramStart"/>
      <w:r w:rsidRPr="0057018B">
        <w:rPr>
          <w:rFonts w:ascii="Palatino Linotype" w:eastAsia="Palatino Linotype" w:hAnsi="Palatino Linotype" w:cs="Verdana"/>
          <w:kern w:val="0"/>
          <w:sz w:val="20"/>
          <w:szCs w:val="20"/>
          <w14:ligatures w14:val="none"/>
        </w:rPr>
        <w:t>fremgår</w:t>
      </w:r>
      <w:proofErr w:type="gramEnd"/>
      <w:r w:rsidRPr="0057018B">
        <w:rPr>
          <w:rFonts w:ascii="Palatino Linotype" w:eastAsia="Palatino Linotype" w:hAnsi="Palatino Linotype" w:cs="Verdana"/>
          <w:kern w:val="0"/>
          <w:sz w:val="20"/>
          <w:szCs w:val="20"/>
          <w14:ligatures w14:val="none"/>
        </w:rPr>
        <w:t xml:space="preserve"> av BREEAM-manualen, og skal også oppfylle ethvert krav assessor, verifiserer og ratifiserer setter for dokumentasjonen.</w:t>
      </w:r>
    </w:p>
    <w:p w14:paraId="3DB11FA4" w14:textId="742BCF2B" w:rsidR="00965735"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skal ferdigstille dokumentasjonen</w:t>
      </w:r>
      <w:r w:rsidR="005830E1">
        <w:rPr>
          <w:rFonts w:ascii="Palatino Linotype" w:eastAsia="Palatino Linotype" w:hAnsi="Palatino Linotype" w:cs="Verdana"/>
          <w:kern w:val="0"/>
          <w:sz w:val="20"/>
          <w:szCs w:val="20"/>
          <w14:ligatures w14:val="none"/>
        </w:rPr>
        <w:t xml:space="preserve"> i tide for å oppnå</w:t>
      </w:r>
      <w:r w:rsidRPr="0057018B">
        <w:rPr>
          <w:rFonts w:ascii="Palatino Linotype" w:eastAsia="Palatino Linotype" w:hAnsi="Palatino Linotype" w:cs="Verdana"/>
          <w:kern w:val="0"/>
          <w:sz w:val="20"/>
          <w:szCs w:val="20"/>
          <w14:ligatures w14:val="none"/>
        </w:rPr>
        <w:t xml:space="preserve"> </w:t>
      </w:r>
      <w:r w:rsidR="00B212AA" w:rsidRPr="00B212AA">
        <w:rPr>
          <w:rFonts w:ascii="Palatino Linotype" w:eastAsia="Palatino Linotype" w:hAnsi="Palatino Linotype" w:cs="Verdana"/>
          <w:kern w:val="0"/>
          <w:sz w:val="20"/>
          <w:szCs w:val="20"/>
          <w14:ligatures w14:val="none"/>
        </w:rPr>
        <w:t>tidsavhengige BREEAM-poeng</w:t>
      </w:r>
      <w:r w:rsidR="00B82B0E">
        <w:rPr>
          <w:rFonts w:ascii="Palatino Linotype" w:eastAsia="Palatino Linotype" w:hAnsi="Palatino Linotype" w:cs="Verdana"/>
          <w:kern w:val="0"/>
          <w:sz w:val="20"/>
          <w:szCs w:val="20"/>
          <w14:ligatures w14:val="none"/>
        </w:rPr>
        <w:t xml:space="preserve"> og eventuelle andre frister</w:t>
      </w:r>
      <w:r w:rsidR="00B212AA" w:rsidRPr="00B212AA">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som følger av BREEAM-manualen og registreringen hos BRE</w:t>
      </w:r>
      <w:r w:rsidRPr="00480E9A">
        <w:rPr>
          <w:rFonts w:ascii="Palatino Linotype" w:eastAsia="Palatino Linotype" w:hAnsi="Palatino Linotype" w:cs="Verdana"/>
          <w:kern w:val="0"/>
          <w:sz w:val="20"/>
          <w:szCs w:val="20"/>
          <w14:ligatures w14:val="none"/>
        </w:rPr>
        <w:t xml:space="preserve">. </w:t>
      </w:r>
      <w:r w:rsidRPr="003C3801">
        <w:rPr>
          <w:rFonts w:ascii="Palatino Linotype" w:eastAsia="Palatino Linotype" w:hAnsi="Palatino Linotype" w:cs="Verdana"/>
          <w:kern w:val="0"/>
          <w:sz w:val="20"/>
          <w:szCs w:val="20"/>
          <w14:ligatures w14:val="none"/>
        </w:rPr>
        <w:t>I tillegg skal dokumentasjonen</w:t>
      </w:r>
      <w:r w:rsidR="00972D87">
        <w:rPr>
          <w:rFonts w:ascii="Palatino Linotype" w:eastAsia="Palatino Linotype" w:hAnsi="Palatino Linotype" w:cs="Verdana"/>
          <w:kern w:val="0"/>
          <w:sz w:val="20"/>
          <w:szCs w:val="20"/>
          <w14:ligatures w14:val="none"/>
        </w:rPr>
        <w:t xml:space="preserve"> </w:t>
      </w:r>
      <w:r w:rsidR="000D12C0" w:rsidRPr="00D64561">
        <w:rPr>
          <w:rFonts w:ascii="Palatino Linotype" w:eastAsia="Palatino Linotype" w:hAnsi="Palatino Linotype" w:cs="Verdana"/>
          <w:kern w:val="0"/>
          <w:sz w:val="20"/>
          <w:szCs w:val="20"/>
          <w14:ligatures w14:val="none"/>
        </w:rPr>
        <w:t>ferdigstilles og</w:t>
      </w:r>
      <w:r w:rsidRPr="003C3801">
        <w:rPr>
          <w:rFonts w:ascii="Palatino Linotype" w:eastAsia="Palatino Linotype" w:hAnsi="Palatino Linotype" w:cs="Verdana"/>
          <w:kern w:val="0"/>
          <w:sz w:val="20"/>
          <w:szCs w:val="20"/>
          <w14:ligatures w14:val="none"/>
        </w:rPr>
        <w:t xml:space="preserve"> </w:t>
      </w:r>
      <w:r w:rsidR="00B90A28">
        <w:rPr>
          <w:rFonts w:ascii="Palatino Linotype" w:eastAsia="Palatino Linotype" w:hAnsi="Palatino Linotype" w:cs="Verdana"/>
          <w:kern w:val="0"/>
          <w:sz w:val="20"/>
          <w:szCs w:val="20"/>
          <w14:ligatures w14:val="none"/>
        </w:rPr>
        <w:t>leveres</w:t>
      </w:r>
      <w:r w:rsidR="000D12C0" w:rsidRPr="00321F14">
        <w:rPr>
          <w:rFonts w:ascii="Palatino Linotype" w:eastAsia="Palatino Linotype" w:hAnsi="Palatino Linotype" w:cs="Verdana"/>
          <w:kern w:val="0"/>
          <w:sz w:val="20"/>
          <w:szCs w:val="20"/>
          <w14:ligatures w14:val="none"/>
        </w:rPr>
        <w:t xml:space="preserve"> innen fristene </w:t>
      </w:r>
      <w:r w:rsidRPr="003C3801">
        <w:rPr>
          <w:rFonts w:ascii="Palatino Linotype" w:eastAsia="Palatino Linotype" w:hAnsi="Palatino Linotype" w:cs="Verdana"/>
          <w:kern w:val="0"/>
          <w:sz w:val="20"/>
          <w:szCs w:val="20"/>
          <w14:ligatures w14:val="none"/>
        </w:rPr>
        <w:t xml:space="preserve">i pkt. </w:t>
      </w:r>
      <w:r w:rsidR="009C6BC2" w:rsidRPr="00321F14">
        <w:rPr>
          <w:rFonts w:ascii="Palatino Linotype" w:eastAsia="Palatino Linotype" w:hAnsi="Palatino Linotype" w:cs="Verdana"/>
          <w:kern w:val="0"/>
          <w:sz w:val="20"/>
          <w:szCs w:val="20"/>
          <w14:ligatures w14:val="none"/>
        </w:rPr>
        <w:t xml:space="preserve">G og H </w:t>
      </w:r>
      <w:r w:rsidRPr="003C3801">
        <w:rPr>
          <w:rFonts w:ascii="Palatino Linotype" w:eastAsia="Palatino Linotype" w:hAnsi="Palatino Linotype" w:cs="Verdana"/>
          <w:kern w:val="0"/>
          <w:sz w:val="20"/>
          <w:szCs w:val="20"/>
          <w14:ligatures w14:val="none"/>
        </w:rPr>
        <w:t>nedenfor.</w:t>
      </w:r>
    </w:p>
    <w:p w14:paraId="428A2A83" w14:textId="09D277CA"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r>
        <w:rPr>
          <w:rFonts w:ascii="Palatino Linotype" w:eastAsia="MS Gothic" w:hAnsi="Palatino Linotype" w:cs="Times New Roman"/>
          <w:b/>
          <w:bCs/>
          <w:kern w:val="0"/>
          <w:sz w:val="20"/>
          <w:szCs w:val="20"/>
          <w14:ligatures w14:val="none"/>
        </w:rPr>
        <w:t>E.3</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Byggherrens</w:t>
      </w:r>
      <w:r w:rsidR="00015E71">
        <w:rPr>
          <w:rFonts w:ascii="Palatino Linotype" w:eastAsia="MS Gothic" w:hAnsi="Palatino Linotype" w:cs="Times New Roman"/>
          <w:b/>
          <w:bCs/>
          <w:kern w:val="0"/>
          <w:sz w:val="20"/>
          <w:szCs w:val="20"/>
          <w14:ligatures w14:val="none"/>
        </w:rPr>
        <w:t xml:space="preserve"> dokumentasjon og</w:t>
      </w:r>
      <w:r w:rsidR="0057018B" w:rsidRPr="0057018B">
        <w:rPr>
          <w:rFonts w:ascii="Palatino Linotype" w:eastAsia="MS Gothic" w:hAnsi="Palatino Linotype" w:cs="Times New Roman"/>
          <w:b/>
          <w:bCs/>
          <w:kern w:val="0"/>
          <w:sz w:val="20"/>
          <w:szCs w:val="20"/>
          <w14:ligatures w14:val="none"/>
        </w:rPr>
        <w:t xml:space="preserve"> prosjektering (NS 8407 pkt. 24.2)</w:t>
      </w:r>
    </w:p>
    <w:p w14:paraId="1234EDA7" w14:textId="50E53D5F" w:rsidR="00C748EE" w:rsidRDefault="00C748EE"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A8412B">
        <w:rPr>
          <w:rFonts w:ascii="Palatino Linotype" w:eastAsia="Palatino Linotype" w:hAnsi="Palatino Linotype" w:cs="Verdana"/>
          <w:kern w:val="0"/>
          <w:sz w:val="20"/>
          <w:szCs w:val="20"/>
          <w14:ligatures w14:val="none"/>
        </w:rPr>
        <w:t>Dokumentasjon utarbeidet av byggherren før kontraktsinngåelsen er verifisert med [</w:t>
      </w:r>
      <w:r w:rsidR="00E02EEF" w:rsidRPr="00E02EEF">
        <w:rPr>
          <w:rFonts w:ascii="Palatino Linotype" w:eastAsia="Palatino Linotype" w:hAnsi="Palatino Linotype" w:cs="Verdana"/>
          <w:i/>
          <w:kern w:val="0"/>
          <w:sz w:val="20"/>
          <w:szCs w:val="20"/>
          <w:shd w:val="clear" w:color="auto" w:fill="F3E4B2"/>
          <w14:ligatures w14:val="none"/>
        </w:rPr>
        <w:t>l</w:t>
      </w:r>
      <w:r w:rsidRPr="0057018B">
        <w:rPr>
          <w:rFonts w:ascii="Palatino Linotype" w:eastAsia="Palatino Linotype" w:hAnsi="Palatino Linotype" w:cs="Verdana"/>
          <w:i/>
          <w:kern w:val="0"/>
          <w:sz w:val="20"/>
          <w:szCs w:val="20"/>
          <w:shd w:val="clear" w:color="auto" w:fill="F3E4B2"/>
          <w14:ligatures w14:val="none"/>
        </w:rPr>
        <w:t xml:space="preserve">egge inn </w:t>
      </w:r>
      <w:r>
        <w:rPr>
          <w:rFonts w:ascii="Palatino Linotype" w:eastAsia="Palatino Linotype" w:hAnsi="Palatino Linotype" w:cs="Verdana"/>
          <w:i/>
          <w:kern w:val="0"/>
          <w:sz w:val="20"/>
          <w:szCs w:val="20"/>
          <w:shd w:val="clear" w:color="auto" w:fill="F3E4B2"/>
          <w14:ligatures w14:val="none"/>
        </w:rPr>
        <w:t>sertifiseringsnivå</w:t>
      </w:r>
      <w:r w:rsidRPr="00A8412B">
        <w:rPr>
          <w:rFonts w:ascii="Palatino Linotype" w:eastAsia="Palatino Linotype" w:hAnsi="Palatino Linotype" w:cs="Verdana"/>
          <w:kern w:val="0"/>
          <w:sz w:val="20"/>
          <w:szCs w:val="20"/>
          <w14:ligatures w14:val="none"/>
        </w:rPr>
        <w:t>] for [</w:t>
      </w:r>
      <w:r>
        <w:rPr>
          <w:rFonts w:ascii="Palatino Linotype" w:eastAsia="Palatino Linotype" w:hAnsi="Palatino Linotype" w:cs="Verdana"/>
          <w:i/>
          <w:kern w:val="0"/>
          <w:sz w:val="20"/>
          <w:szCs w:val="20"/>
          <w:shd w:val="clear" w:color="auto" w:fill="F3E4B2"/>
          <w14:ligatures w14:val="none"/>
        </w:rPr>
        <w:t>l</w:t>
      </w:r>
      <w:r w:rsidRPr="0057018B">
        <w:rPr>
          <w:rFonts w:ascii="Palatino Linotype" w:eastAsia="Palatino Linotype" w:hAnsi="Palatino Linotype" w:cs="Verdana"/>
          <w:i/>
          <w:kern w:val="0"/>
          <w:sz w:val="20"/>
          <w:szCs w:val="20"/>
          <w:shd w:val="clear" w:color="auto" w:fill="F3E4B2"/>
          <w14:ligatures w14:val="none"/>
        </w:rPr>
        <w:t>egge inn revisjonsfase</w:t>
      </w:r>
      <w:r w:rsidRPr="00A8412B">
        <w:rPr>
          <w:rFonts w:ascii="Palatino Linotype" w:eastAsia="Palatino Linotype" w:hAnsi="Palatino Linotype" w:cs="Verdana"/>
          <w:kern w:val="0"/>
          <w:sz w:val="20"/>
          <w:szCs w:val="20"/>
          <w14:ligatures w14:val="none"/>
        </w:rPr>
        <w:t>].</w:t>
      </w:r>
    </w:p>
    <w:p w14:paraId="3AD7C4BA" w14:textId="24F9FF1E" w:rsidR="00C96465" w:rsidRDefault="00C96465"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C96465">
        <w:rPr>
          <w:rFonts w:ascii="Palatino Linotype" w:eastAsia="Palatino Linotype" w:hAnsi="Palatino Linotype" w:cs="Verdana"/>
          <w:kern w:val="0"/>
          <w:sz w:val="20"/>
          <w:szCs w:val="20"/>
          <w14:ligatures w14:val="none"/>
        </w:rPr>
        <w:t>Byggherren bærer risikoen for dokumentasjon utarbeidet</w:t>
      </w:r>
      <w:r w:rsidR="00C36A4B">
        <w:rPr>
          <w:rFonts w:ascii="Palatino Linotype" w:eastAsia="Palatino Linotype" w:hAnsi="Palatino Linotype" w:cs="Verdana"/>
          <w:kern w:val="0"/>
          <w:sz w:val="20"/>
          <w:szCs w:val="20"/>
          <w14:ligatures w14:val="none"/>
        </w:rPr>
        <w:t xml:space="preserve"> av byggherren</w:t>
      </w:r>
      <w:r w:rsidRPr="00C96465">
        <w:rPr>
          <w:rFonts w:ascii="Palatino Linotype" w:eastAsia="Palatino Linotype" w:hAnsi="Palatino Linotype" w:cs="Verdana"/>
          <w:kern w:val="0"/>
          <w:sz w:val="20"/>
          <w:szCs w:val="20"/>
          <w14:ligatures w14:val="none"/>
        </w:rPr>
        <w:t xml:space="preserve"> før kontraktsinngåelsen</w:t>
      </w:r>
      <w:r w:rsidR="00C36A4B">
        <w:rPr>
          <w:rFonts w:ascii="Palatino Linotype" w:eastAsia="Palatino Linotype" w:hAnsi="Palatino Linotype" w:cs="Verdana"/>
          <w:kern w:val="0"/>
          <w:sz w:val="20"/>
          <w:szCs w:val="20"/>
          <w14:ligatures w14:val="none"/>
        </w:rPr>
        <w:t>,</w:t>
      </w:r>
      <w:r w:rsidRPr="00C96465">
        <w:rPr>
          <w:rFonts w:ascii="Palatino Linotype" w:eastAsia="Palatino Linotype" w:hAnsi="Palatino Linotype" w:cs="Verdana"/>
          <w:kern w:val="0"/>
          <w:sz w:val="20"/>
          <w:szCs w:val="20"/>
          <w14:ligatures w14:val="none"/>
        </w:rPr>
        <w:t xml:space="preserve"> </w:t>
      </w:r>
      <w:r w:rsidR="00941EE4">
        <w:rPr>
          <w:rFonts w:ascii="Palatino Linotype" w:eastAsia="Palatino Linotype" w:hAnsi="Palatino Linotype" w:cs="Verdana"/>
          <w:kern w:val="0"/>
          <w:sz w:val="20"/>
          <w:szCs w:val="20"/>
          <w14:ligatures w14:val="none"/>
        </w:rPr>
        <w:t>herunder</w:t>
      </w:r>
      <w:r w:rsidRPr="00C96465">
        <w:rPr>
          <w:rFonts w:ascii="Palatino Linotype" w:eastAsia="Palatino Linotype" w:hAnsi="Palatino Linotype" w:cs="Verdana"/>
          <w:kern w:val="0"/>
          <w:sz w:val="20"/>
          <w:szCs w:val="20"/>
          <w14:ligatures w14:val="none"/>
        </w:rPr>
        <w:t xml:space="preserve"> at denne oppfyller kriteriene for avtalt sertifiseringsnivå</w:t>
      </w:r>
      <w:r w:rsidR="00941EE4">
        <w:rPr>
          <w:rFonts w:ascii="Palatino Linotype" w:eastAsia="Palatino Linotype" w:hAnsi="Palatino Linotype" w:cs="Verdana"/>
          <w:kern w:val="0"/>
          <w:sz w:val="20"/>
          <w:szCs w:val="20"/>
          <w14:ligatures w14:val="none"/>
        </w:rPr>
        <w:t xml:space="preserve"> og BREEAM-krav i pkt. B ovenfor</w:t>
      </w:r>
      <w:r w:rsidRPr="00C96465">
        <w:rPr>
          <w:rFonts w:ascii="Palatino Linotype" w:eastAsia="Palatino Linotype" w:hAnsi="Palatino Linotype" w:cs="Verdana"/>
          <w:kern w:val="0"/>
          <w:sz w:val="20"/>
          <w:szCs w:val="20"/>
          <w14:ligatures w14:val="none"/>
        </w:rPr>
        <w:t>.</w:t>
      </w:r>
      <w:r w:rsidR="002474B4">
        <w:rPr>
          <w:rFonts w:ascii="Palatino Linotype" w:eastAsia="Palatino Linotype" w:hAnsi="Palatino Linotype" w:cs="Verdana"/>
          <w:kern w:val="0"/>
          <w:sz w:val="20"/>
          <w:szCs w:val="20"/>
          <w14:ligatures w14:val="none"/>
        </w:rPr>
        <w:t xml:space="preserve"> </w:t>
      </w:r>
      <w:r w:rsidR="002474B4" w:rsidRPr="0057018B">
        <w:rPr>
          <w:rFonts w:ascii="Palatino Linotype" w:eastAsia="Palatino Linotype" w:hAnsi="Palatino Linotype" w:cs="Verdana"/>
          <w:kern w:val="0"/>
          <w:sz w:val="20"/>
          <w:szCs w:val="20"/>
          <w14:ligatures w14:val="none"/>
        </w:rPr>
        <w:t>Med mindre noe annet er avtalt, har totalentreprenøren ikke risikoen eller ansvaret for</w:t>
      </w:r>
      <w:r w:rsidR="004E4F8B">
        <w:rPr>
          <w:rFonts w:ascii="Palatino Linotype" w:eastAsia="Palatino Linotype" w:hAnsi="Palatino Linotype" w:cs="Verdana"/>
          <w:kern w:val="0"/>
          <w:sz w:val="20"/>
          <w:szCs w:val="20"/>
          <w14:ligatures w14:val="none"/>
        </w:rPr>
        <w:t xml:space="preserve"> tidsavhengige BREEAM-poeng og</w:t>
      </w:r>
      <w:r w:rsidR="002474B4" w:rsidRPr="0057018B">
        <w:rPr>
          <w:rFonts w:ascii="Palatino Linotype" w:eastAsia="Palatino Linotype" w:hAnsi="Palatino Linotype" w:cs="Verdana"/>
          <w:kern w:val="0"/>
          <w:sz w:val="20"/>
          <w:szCs w:val="20"/>
          <w14:ligatures w14:val="none"/>
        </w:rPr>
        <w:t xml:space="preserve"> dokumentasjon som byggherren skulle sikret før kontraktsinngåelsen.</w:t>
      </w:r>
    </w:p>
    <w:p w14:paraId="498DB855" w14:textId="6EACC1E9" w:rsidR="0057018B" w:rsidRPr="0057018B" w:rsidRDefault="0057018B" w:rsidP="0057018B">
      <w:pPr>
        <w:suppressAutoHyphens/>
        <w:spacing w:after="200" w:line="240" w:lineRule="atLeast"/>
        <w:jc w:val="both"/>
        <w:rPr>
          <w:rFonts w:ascii="Palatino Linotype" w:eastAsia="Palatino Linotype" w:hAnsi="Palatino Linotype" w:cs="Verdana"/>
          <w:iCs/>
          <w:kern w:val="0"/>
          <w:sz w:val="20"/>
          <w:szCs w:val="20"/>
          <w:shd w:val="clear" w:color="auto" w:fill="F3E4B2"/>
          <w14:ligatures w14:val="none"/>
        </w:rPr>
      </w:pPr>
      <w:r w:rsidRPr="0057018B">
        <w:rPr>
          <w:rFonts w:ascii="Palatino Linotype" w:eastAsia="Palatino Linotype" w:hAnsi="Palatino Linotype" w:cs="Verdana"/>
          <w:kern w:val="0"/>
          <w:sz w:val="20"/>
          <w:szCs w:val="20"/>
          <w14:ligatures w14:val="none"/>
        </w:rPr>
        <w:t>[</w:t>
      </w:r>
      <w:r w:rsidR="00C96465">
        <w:rPr>
          <w:rFonts w:ascii="Palatino Linotype" w:eastAsia="Palatino Linotype" w:hAnsi="Palatino Linotype" w:cs="Verdana"/>
          <w:i/>
          <w:kern w:val="0"/>
          <w:sz w:val="20"/>
          <w:szCs w:val="20"/>
          <w:shd w:val="clear" w:color="auto" w:fill="F3E4B2"/>
          <w14:ligatures w14:val="none"/>
        </w:rPr>
        <w:t>Alternativt</w:t>
      </w:r>
      <w:r w:rsidRPr="0057018B">
        <w:rPr>
          <w:rFonts w:ascii="Palatino Linotype" w:eastAsia="Palatino Linotype" w:hAnsi="Palatino Linotype" w:cs="Verdana"/>
          <w:i/>
          <w:kern w:val="0"/>
          <w:sz w:val="20"/>
          <w:szCs w:val="20"/>
          <w:shd w:val="clear" w:color="auto" w:fill="F3E4B2"/>
          <w14:ligatures w14:val="none"/>
        </w:rPr>
        <w:t xml:space="preserve">: </w:t>
      </w:r>
      <w:r w:rsidRPr="0057018B">
        <w:rPr>
          <w:rFonts w:ascii="Palatino Linotype" w:eastAsia="Palatino Linotype" w:hAnsi="Palatino Linotype" w:cs="Verdana"/>
          <w:iCs/>
          <w:kern w:val="0"/>
          <w:sz w:val="20"/>
          <w:szCs w:val="20"/>
          <w:shd w:val="clear" w:color="auto" w:fill="F3E4B2"/>
          <w14:ligatures w14:val="none"/>
        </w:rPr>
        <w:t xml:space="preserve">Totalentreprenøren overtar risikoen for alle løsninger og annen prosjektering utarbeidet av eller på </w:t>
      </w:r>
      <w:bookmarkStart w:id="13" w:name="_Hlk164845662"/>
      <w:r w:rsidRPr="0057018B">
        <w:rPr>
          <w:rFonts w:ascii="Palatino Linotype" w:eastAsia="Palatino Linotype" w:hAnsi="Palatino Linotype" w:cs="Verdana"/>
          <w:iCs/>
          <w:kern w:val="0"/>
          <w:sz w:val="20"/>
          <w:szCs w:val="20"/>
          <w:shd w:val="clear" w:color="auto" w:fill="F3E4B2"/>
          <w14:ligatures w14:val="none"/>
        </w:rPr>
        <w:t xml:space="preserve">vegne av byggherren </w:t>
      </w:r>
      <w:bookmarkEnd w:id="13"/>
      <w:r w:rsidRPr="0057018B">
        <w:rPr>
          <w:rFonts w:ascii="Palatino Linotype" w:eastAsia="Palatino Linotype" w:hAnsi="Palatino Linotype" w:cs="Verdana"/>
          <w:iCs/>
          <w:kern w:val="0"/>
          <w:sz w:val="20"/>
          <w:szCs w:val="20"/>
          <w:shd w:val="clear" w:color="auto" w:fill="F3E4B2"/>
          <w14:ligatures w14:val="none"/>
        </w:rPr>
        <w:t>i henhold til NS 8407 pkt. 24.2. Dette inkluderer risikoen for at byggherrens prosjektering oppnår sertifiseringsnivå og avtalte poengkrav for BREEAM-kvaliteter som avtalt i pkt.</w:t>
      </w:r>
      <w:r w:rsidR="007870A0">
        <w:rPr>
          <w:rFonts w:ascii="Palatino Linotype" w:eastAsia="Palatino Linotype" w:hAnsi="Palatino Linotype" w:cs="Verdana"/>
          <w:iCs/>
          <w:kern w:val="0"/>
          <w:sz w:val="20"/>
          <w:szCs w:val="20"/>
          <w:shd w:val="clear" w:color="auto" w:fill="F3E4B2"/>
          <w14:ligatures w14:val="none"/>
        </w:rPr>
        <w:t xml:space="preserve"> </w:t>
      </w:r>
      <w:r w:rsidR="00E56EE3">
        <w:rPr>
          <w:rFonts w:ascii="Palatino Linotype" w:eastAsia="Palatino Linotype" w:hAnsi="Palatino Linotype" w:cs="Verdana"/>
          <w:iCs/>
          <w:kern w:val="0"/>
          <w:sz w:val="20"/>
          <w:szCs w:val="20"/>
          <w:shd w:val="clear" w:color="auto" w:fill="F3E4B2"/>
          <w14:ligatures w14:val="none"/>
        </w:rPr>
        <w:t>B</w:t>
      </w:r>
      <w:r w:rsidRPr="0057018B">
        <w:rPr>
          <w:rFonts w:ascii="Palatino Linotype" w:eastAsia="Palatino Linotype" w:hAnsi="Palatino Linotype" w:cs="Verdana"/>
          <w:iCs/>
          <w:kern w:val="0"/>
          <w:sz w:val="20"/>
          <w:szCs w:val="20"/>
          <w:shd w:val="clear" w:color="auto" w:fill="F3E4B2"/>
          <w14:ligatures w14:val="none"/>
        </w:rPr>
        <w:t>.</w:t>
      </w:r>
    </w:p>
    <w:p w14:paraId="5CE57F6D" w14:textId="3B5FA24C"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iCs/>
          <w:kern w:val="0"/>
          <w:sz w:val="20"/>
          <w:szCs w:val="20"/>
          <w:shd w:val="clear" w:color="auto" w:fill="F3E4B2"/>
          <w14:ligatures w14:val="none"/>
        </w:rPr>
        <w:t xml:space="preserve">Med mindre noe annet er avtalt, overtar totalentreprenøren </w:t>
      </w:r>
      <w:r w:rsidR="00CF74B4">
        <w:rPr>
          <w:rFonts w:ascii="Palatino Linotype" w:eastAsia="Palatino Linotype" w:hAnsi="Palatino Linotype" w:cs="Verdana"/>
          <w:iCs/>
          <w:kern w:val="0"/>
          <w:sz w:val="20"/>
          <w:szCs w:val="20"/>
          <w:shd w:val="clear" w:color="auto" w:fill="F3E4B2"/>
          <w14:ligatures w14:val="none"/>
        </w:rPr>
        <w:t xml:space="preserve">likevel </w:t>
      </w:r>
      <w:r w:rsidRPr="0057018B">
        <w:rPr>
          <w:rFonts w:ascii="Palatino Linotype" w:eastAsia="Palatino Linotype" w:hAnsi="Palatino Linotype" w:cs="Verdana"/>
          <w:iCs/>
          <w:kern w:val="0"/>
          <w:sz w:val="20"/>
          <w:szCs w:val="20"/>
          <w:shd w:val="clear" w:color="auto" w:fill="F3E4B2"/>
          <w14:ligatures w14:val="none"/>
        </w:rPr>
        <w:t xml:space="preserve">ikke risikoen eller ansvaret for </w:t>
      </w:r>
      <w:bookmarkStart w:id="14" w:name="_Hlk177548741"/>
      <w:r w:rsidRPr="0057018B">
        <w:rPr>
          <w:rFonts w:ascii="Palatino Linotype" w:eastAsia="Palatino Linotype" w:hAnsi="Palatino Linotype" w:cs="Verdana"/>
          <w:iCs/>
          <w:kern w:val="0"/>
          <w:sz w:val="20"/>
          <w:szCs w:val="20"/>
          <w:shd w:val="clear" w:color="auto" w:fill="F3E4B2"/>
          <w14:ligatures w14:val="none"/>
        </w:rPr>
        <w:t xml:space="preserve">tidsavhengige BREEAM-poeng </w:t>
      </w:r>
      <w:bookmarkEnd w:id="14"/>
      <w:r w:rsidRPr="0057018B">
        <w:rPr>
          <w:rFonts w:ascii="Palatino Linotype" w:eastAsia="Palatino Linotype" w:hAnsi="Palatino Linotype" w:cs="Verdana"/>
          <w:iCs/>
          <w:kern w:val="0"/>
          <w:sz w:val="20"/>
          <w:szCs w:val="20"/>
          <w:shd w:val="clear" w:color="auto" w:fill="F3E4B2"/>
          <w14:ligatures w14:val="none"/>
        </w:rPr>
        <w:t>som byggherren skulle oppnådd før kontraktsinngåelsen.</w:t>
      </w:r>
      <w:r w:rsidRPr="0057018B">
        <w:rPr>
          <w:rFonts w:ascii="Palatino Linotype" w:eastAsia="Palatino Linotype" w:hAnsi="Palatino Linotype" w:cs="Verdana"/>
          <w:kern w:val="0"/>
          <w:sz w:val="20"/>
          <w:szCs w:val="20"/>
          <w14:ligatures w14:val="none"/>
        </w:rPr>
        <w:t>]</w:t>
      </w:r>
    </w:p>
    <w:p w14:paraId="6B565DAC" w14:textId="7ECACCEE"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15" w:name="_Ref67342599"/>
      <w:r>
        <w:rPr>
          <w:rFonts w:ascii="Palatino Linotype" w:eastAsia="MS Gothic" w:hAnsi="Palatino Linotype" w:cs="Times New Roman"/>
          <w:b/>
          <w:bCs/>
          <w:kern w:val="0"/>
          <w:sz w:val="20"/>
          <w:szCs w:val="26"/>
          <w14:ligatures w14:val="none"/>
        </w:rPr>
        <w:lastRenderedPageBreak/>
        <w:t>F.</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Fremdrift (NS 8407 pkt. 21)</w:t>
      </w:r>
      <w:bookmarkEnd w:id="15"/>
    </w:p>
    <w:p w14:paraId="6B5490F5" w14:textId="066F2D39" w:rsidR="0057018B" w:rsidRPr="0057018B" w:rsidRDefault="00857F27" w:rsidP="0057018B">
      <w:pPr>
        <w:suppressAutoHyphens/>
        <w:spacing w:after="200" w:line="240" w:lineRule="atLeast"/>
        <w:jc w:val="both"/>
        <w:rPr>
          <w:rFonts w:ascii="Palatino Linotype" w:eastAsia="Palatino Linotype" w:hAnsi="Palatino Linotype" w:cs="Verdana"/>
          <w:kern w:val="0"/>
          <w:sz w:val="20"/>
          <w:szCs w:val="20"/>
          <w14:ligatures w14:val="none"/>
        </w:rPr>
      </w:pPr>
      <w:r>
        <w:rPr>
          <w:rFonts w:ascii="Palatino Linotype" w:eastAsia="Palatino Linotype" w:hAnsi="Palatino Linotype" w:cs="Verdana"/>
          <w:kern w:val="0"/>
          <w:sz w:val="20"/>
          <w:szCs w:val="20"/>
          <w14:ligatures w14:val="none"/>
        </w:rPr>
        <w:t>Milepeler for t</w:t>
      </w:r>
      <w:r w:rsidR="0057018B" w:rsidRPr="0057018B">
        <w:rPr>
          <w:rFonts w:ascii="Palatino Linotype" w:eastAsia="Palatino Linotype" w:hAnsi="Palatino Linotype" w:cs="Verdana"/>
          <w:kern w:val="0"/>
          <w:sz w:val="20"/>
          <w:szCs w:val="20"/>
          <w14:ligatures w14:val="none"/>
        </w:rPr>
        <w:t xml:space="preserve">otalentreprenørens leveranser av dokumentasjon innarbeides i totalentreprenørens fremdriftsplan etter NS 8407 pkt. 21.2. </w:t>
      </w:r>
    </w:p>
    <w:p w14:paraId="264A026A"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Totalentreprenøren skal holde byggherren informert om fremdriftsstatusen etter NS 8407 pkt. 21.3. </w:t>
      </w:r>
    </w:p>
    <w:p w14:paraId="004B5648" w14:textId="3E877F6B"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16" w:name="_Ref65582352"/>
      <w:r>
        <w:rPr>
          <w:rFonts w:ascii="Palatino Linotype" w:eastAsia="MS Gothic" w:hAnsi="Palatino Linotype" w:cs="Times New Roman"/>
          <w:b/>
          <w:bCs/>
          <w:kern w:val="0"/>
          <w:sz w:val="20"/>
          <w:szCs w:val="26"/>
          <w14:ligatures w14:val="none"/>
        </w:rPr>
        <w:t>G.</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Forberedelse til overtakelse (NS 8407 pkt. 36)</w:t>
      </w:r>
      <w:bookmarkEnd w:id="16"/>
    </w:p>
    <w:p w14:paraId="6539BD5A" w14:textId="48C34525"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Med mindre noe annet er avtalt, skal totalentreprenøren levere dokumentasjonen i henhold til pkt. </w:t>
      </w:r>
      <w:r w:rsidR="00E56EE3">
        <w:rPr>
          <w:rFonts w:ascii="Palatino Linotype" w:eastAsia="Palatino Linotype" w:hAnsi="Palatino Linotype" w:cs="Verdana"/>
          <w:kern w:val="0"/>
          <w:sz w:val="20"/>
          <w:szCs w:val="20"/>
          <w14:ligatures w14:val="none"/>
        </w:rPr>
        <w:t xml:space="preserve">E.2 </w:t>
      </w:r>
      <w:r w:rsidRPr="0057018B">
        <w:rPr>
          <w:rFonts w:ascii="Palatino Linotype" w:eastAsia="Palatino Linotype" w:hAnsi="Palatino Linotype" w:cs="Verdana"/>
          <w:kern w:val="0"/>
          <w:sz w:val="20"/>
          <w:szCs w:val="20"/>
          <w14:ligatures w14:val="none"/>
        </w:rPr>
        <w:t>til assessor [</w:t>
      </w:r>
      <w:r w:rsidRPr="0057018B">
        <w:rPr>
          <w:rFonts w:ascii="Palatino Linotype" w:eastAsia="Palatino Linotype" w:hAnsi="Palatino Linotype" w:cs="Verdana"/>
          <w:iCs/>
          <w:kern w:val="0"/>
          <w:sz w:val="20"/>
          <w:szCs w:val="20"/>
          <w:shd w:val="clear" w:color="auto" w:fill="F3E4B2"/>
          <w14:ligatures w14:val="none"/>
        </w:rPr>
        <w:t>og byggherren</w:t>
      </w:r>
      <w:r w:rsidRPr="0057018B">
        <w:rPr>
          <w:rFonts w:ascii="Palatino Linotype" w:eastAsia="Palatino Linotype" w:hAnsi="Palatino Linotype" w:cs="Verdana"/>
          <w:kern w:val="0"/>
          <w:sz w:val="20"/>
          <w:szCs w:val="20"/>
          <w14:ligatures w14:val="none"/>
        </w:rPr>
        <w:t>] senest tre uker før overtakelsesforretningen.</w:t>
      </w:r>
    </w:p>
    <w:p w14:paraId="7322248C" w14:textId="7ED98C1D"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17" w:name="_Ref65776536"/>
      <w:r>
        <w:rPr>
          <w:rFonts w:ascii="Palatino Linotype" w:eastAsia="MS Gothic" w:hAnsi="Palatino Linotype" w:cs="Times New Roman"/>
          <w:b/>
          <w:bCs/>
          <w:kern w:val="0"/>
          <w:sz w:val="20"/>
          <w:szCs w:val="26"/>
          <w14:ligatures w14:val="none"/>
        </w:rPr>
        <w:t>H.</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Dagmulkt (NS 8407 pkt. 40.2)</w:t>
      </w:r>
      <w:bookmarkEnd w:id="17"/>
    </w:p>
    <w:p w14:paraId="7FE10AF0" w14:textId="785636E3"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Byggherren kan kreve dagmulkt etter NS 8407 pkt. 40.2 andre ledd hvis dokumentasjon i henhold til pkt. </w:t>
      </w:r>
      <w:r w:rsidR="00E56EE3">
        <w:rPr>
          <w:rFonts w:ascii="Palatino Linotype" w:eastAsia="Palatino Linotype" w:hAnsi="Palatino Linotype" w:cs="Verdana"/>
          <w:kern w:val="0"/>
          <w:sz w:val="20"/>
          <w:szCs w:val="20"/>
          <w14:ligatures w14:val="none"/>
        </w:rPr>
        <w:t xml:space="preserve">E.2 </w:t>
      </w:r>
      <w:r w:rsidRPr="0057018B">
        <w:rPr>
          <w:rFonts w:ascii="Palatino Linotype" w:eastAsia="Palatino Linotype" w:hAnsi="Palatino Linotype" w:cs="Verdana"/>
          <w:kern w:val="0"/>
          <w:sz w:val="20"/>
          <w:szCs w:val="20"/>
          <w14:ligatures w14:val="none"/>
        </w:rPr>
        <w:t xml:space="preserve">ikke er </w:t>
      </w:r>
      <w:r w:rsidR="00390313">
        <w:rPr>
          <w:rFonts w:ascii="Palatino Linotype" w:eastAsia="Palatino Linotype" w:hAnsi="Palatino Linotype" w:cs="Verdana"/>
          <w:kern w:val="0"/>
          <w:sz w:val="20"/>
          <w:szCs w:val="20"/>
          <w14:ligatures w14:val="none"/>
        </w:rPr>
        <w:t xml:space="preserve">ferdigstilt og </w:t>
      </w:r>
      <w:r w:rsidR="004C3720">
        <w:rPr>
          <w:rFonts w:ascii="Palatino Linotype" w:eastAsia="Palatino Linotype" w:hAnsi="Palatino Linotype" w:cs="Verdana"/>
          <w:kern w:val="0"/>
          <w:sz w:val="20"/>
          <w:szCs w:val="20"/>
          <w14:ligatures w14:val="none"/>
        </w:rPr>
        <w:t>levert</w:t>
      </w:r>
      <w:r w:rsidRPr="0057018B">
        <w:rPr>
          <w:rFonts w:ascii="Palatino Linotype" w:eastAsia="Palatino Linotype" w:hAnsi="Palatino Linotype" w:cs="Verdana"/>
          <w:kern w:val="0"/>
          <w:sz w:val="20"/>
          <w:szCs w:val="20"/>
          <w14:ligatures w14:val="none"/>
        </w:rPr>
        <w:t xml:space="preserve"> innen følgende frister:</w:t>
      </w:r>
    </w:p>
    <w:tbl>
      <w:tblPr>
        <w:tblStyle w:val="Rutenettabell1lysuthevingsfarge21"/>
        <w:tblW w:w="8755" w:type="dxa"/>
        <w:tblCellMar>
          <w:right w:w="0" w:type="dxa"/>
        </w:tblCellMar>
        <w:tblLook w:val="0420" w:firstRow="1" w:lastRow="0" w:firstColumn="0" w:lastColumn="0" w:noHBand="0" w:noVBand="1"/>
      </w:tblPr>
      <w:tblGrid>
        <w:gridCol w:w="3507"/>
        <w:gridCol w:w="3131"/>
        <w:gridCol w:w="2117"/>
      </w:tblGrid>
      <w:tr w:rsidR="0057018B" w:rsidRPr="0057018B" w14:paraId="7FDC0F39" w14:textId="77777777" w:rsidTr="007022D8">
        <w:trPr>
          <w:cnfStyle w:val="100000000000" w:firstRow="1" w:lastRow="0" w:firstColumn="0" w:lastColumn="0" w:oddVBand="0" w:evenVBand="0" w:oddHBand="0" w:evenHBand="0" w:firstRowFirstColumn="0" w:firstRowLastColumn="0" w:lastRowFirstColumn="0" w:lastRowLastColumn="0"/>
        </w:trPr>
        <w:tc>
          <w:tcPr>
            <w:tcW w:w="3507" w:type="dxa"/>
          </w:tcPr>
          <w:p w14:paraId="776D9198" w14:textId="77777777" w:rsidR="0057018B" w:rsidRPr="0057018B" w:rsidRDefault="0057018B" w:rsidP="0057018B">
            <w:pPr>
              <w:suppressAutoHyphens/>
              <w:spacing w:after="200" w:line="240" w:lineRule="atLeast"/>
              <w:rPr>
                <w:rFonts w:eastAsia="Palatino Linotype"/>
              </w:rPr>
            </w:pPr>
            <w:r w:rsidRPr="0057018B">
              <w:rPr>
                <w:rFonts w:eastAsia="Palatino Linotype"/>
              </w:rPr>
              <w:t>Beskrivelse av frist</w:t>
            </w:r>
          </w:p>
        </w:tc>
        <w:tc>
          <w:tcPr>
            <w:tcW w:w="3131" w:type="dxa"/>
          </w:tcPr>
          <w:p w14:paraId="41777086" w14:textId="77777777" w:rsidR="0057018B" w:rsidRPr="0057018B" w:rsidRDefault="0057018B" w:rsidP="0057018B">
            <w:pPr>
              <w:suppressAutoHyphens/>
              <w:spacing w:after="200" w:line="240" w:lineRule="atLeast"/>
              <w:rPr>
                <w:rFonts w:eastAsia="Palatino Linotype"/>
              </w:rPr>
            </w:pPr>
            <w:r w:rsidRPr="0057018B">
              <w:rPr>
                <w:rFonts w:eastAsia="Palatino Linotype"/>
              </w:rPr>
              <w:t>Frist</w:t>
            </w:r>
          </w:p>
        </w:tc>
        <w:tc>
          <w:tcPr>
            <w:tcW w:w="2117" w:type="dxa"/>
          </w:tcPr>
          <w:p w14:paraId="1E24ABB5" w14:textId="77777777" w:rsidR="0057018B" w:rsidRPr="0057018B" w:rsidRDefault="0057018B" w:rsidP="0057018B">
            <w:pPr>
              <w:suppressAutoHyphens/>
              <w:spacing w:after="200" w:line="240" w:lineRule="atLeast"/>
              <w:rPr>
                <w:rFonts w:eastAsia="Palatino Linotype"/>
              </w:rPr>
            </w:pPr>
            <w:r w:rsidRPr="0057018B">
              <w:rPr>
                <w:rFonts w:eastAsia="Palatino Linotype"/>
              </w:rPr>
              <w:t>Dagmulkt per hverdag</w:t>
            </w:r>
          </w:p>
        </w:tc>
      </w:tr>
      <w:tr w:rsidR="0057018B" w:rsidRPr="0057018B" w14:paraId="61A6CB8E" w14:textId="77777777" w:rsidTr="007022D8">
        <w:tc>
          <w:tcPr>
            <w:tcW w:w="3507" w:type="dxa"/>
          </w:tcPr>
          <w:p w14:paraId="3841010F" w14:textId="4DA8B033" w:rsidR="0057018B" w:rsidRPr="0057018B" w:rsidRDefault="0057018B" w:rsidP="0057018B">
            <w:pPr>
              <w:suppressAutoHyphens/>
              <w:spacing w:after="200" w:line="240" w:lineRule="atLeast"/>
              <w:rPr>
                <w:rFonts w:eastAsia="Palatino Linotype"/>
                <w:b/>
              </w:rPr>
            </w:pPr>
            <w:r w:rsidRPr="00D438C0">
              <w:rPr>
                <w:rFonts w:eastAsia="Palatino Linotype"/>
                <w:lang w:val="nb-NO"/>
              </w:rPr>
              <w:t>[</w:t>
            </w:r>
            <w:r w:rsidRPr="00D438C0">
              <w:rPr>
                <w:rFonts w:eastAsia="Palatino Linotype"/>
                <w:shd w:val="clear" w:color="auto" w:fill="F3E4B2"/>
                <w:lang w:val="nb-NO"/>
              </w:rPr>
              <w:t>Frist for overlevering av dokumentasjon ved ferdigstillelse, se pkt.</w:t>
            </w:r>
            <w:r w:rsidR="007C32CD" w:rsidRPr="00D438C0">
              <w:rPr>
                <w:rFonts w:eastAsia="Palatino Linotype"/>
                <w:shd w:val="clear" w:color="auto" w:fill="F3E4B2"/>
                <w:lang w:val="nb-NO"/>
              </w:rPr>
              <w:t xml:space="preserve"> </w:t>
            </w:r>
            <w:r w:rsidR="007C32CD">
              <w:rPr>
                <w:rFonts w:eastAsia="Palatino Linotype"/>
                <w:shd w:val="clear" w:color="auto" w:fill="F3E4B2"/>
              </w:rPr>
              <w:t>G</w:t>
            </w:r>
            <w:r w:rsidRPr="0057018B">
              <w:rPr>
                <w:rFonts w:eastAsia="Palatino Linotype"/>
              </w:rPr>
              <w:t>]</w:t>
            </w:r>
          </w:p>
        </w:tc>
        <w:tc>
          <w:tcPr>
            <w:tcW w:w="3131" w:type="dxa"/>
          </w:tcPr>
          <w:p w14:paraId="30D25FF6" w14:textId="77777777" w:rsidR="0057018B" w:rsidRPr="0057018B" w:rsidRDefault="0057018B" w:rsidP="0057018B">
            <w:pPr>
              <w:suppressAutoHyphens/>
              <w:spacing w:after="200" w:line="240" w:lineRule="atLeast"/>
              <w:rPr>
                <w:rFonts w:eastAsia="Palatino Linotype"/>
              </w:rPr>
            </w:pPr>
            <w:r w:rsidRPr="0057018B">
              <w:rPr>
                <w:rFonts w:eastAsia="Palatino Linotype"/>
              </w:rPr>
              <w:t>[</w:t>
            </w:r>
            <w:r w:rsidRPr="0057018B">
              <w:rPr>
                <w:rFonts w:eastAsia="Palatino Linotype"/>
                <w:shd w:val="clear" w:color="auto" w:fill="F3E4B2"/>
              </w:rPr>
              <w:t xml:space="preserve">Tre </w:t>
            </w:r>
            <w:proofErr w:type="spellStart"/>
            <w:r w:rsidRPr="0057018B">
              <w:rPr>
                <w:rFonts w:eastAsia="Palatino Linotype"/>
                <w:shd w:val="clear" w:color="auto" w:fill="F3E4B2"/>
              </w:rPr>
              <w:t>uker</w:t>
            </w:r>
            <w:proofErr w:type="spellEnd"/>
            <w:r w:rsidRPr="0057018B">
              <w:rPr>
                <w:rFonts w:eastAsia="Palatino Linotype"/>
                <w:shd w:val="clear" w:color="auto" w:fill="F3E4B2"/>
              </w:rPr>
              <w:t xml:space="preserve"> før </w:t>
            </w:r>
            <w:proofErr w:type="spellStart"/>
            <w:r w:rsidRPr="0057018B">
              <w:rPr>
                <w:rFonts w:eastAsia="Palatino Linotype"/>
                <w:shd w:val="clear" w:color="auto" w:fill="F3E4B2"/>
              </w:rPr>
              <w:t>overtakelsesforretningen</w:t>
            </w:r>
            <w:proofErr w:type="spellEnd"/>
            <w:r w:rsidRPr="0057018B">
              <w:rPr>
                <w:rFonts w:eastAsia="Palatino Linotype"/>
              </w:rPr>
              <w:t>]</w:t>
            </w:r>
          </w:p>
        </w:tc>
        <w:tc>
          <w:tcPr>
            <w:tcW w:w="2117" w:type="dxa"/>
          </w:tcPr>
          <w:p w14:paraId="11B82D19" w14:textId="77777777" w:rsidR="0057018B" w:rsidRPr="0057018B" w:rsidRDefault="0057018B" w:rsidP="0057018B">
            <w:pPr>
              <w:suppressAutoHyphens/>
              <w:spacing w:after="200" w:line="240" w:lineRule="atLeast"/>
              <w:rPr>
                <w:rFonts w:eastAsia="Palatino Linotype"/>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r w:rsidRPr="0057018B">
              <w:rPr>
                <w:rFonts w:eastAsia="Palatino Linotype"/>
              </w:rPr>
              <w:t xml:space="preserve"> </w:t>
            </w:r>
            <w:proofErr w:type="spellStart"/>
            <w:r w:rsidRPr="0057018B">
              <w:rPr>
                <w:rFonts w:eastAsia="Palatino Linotype"/>
              </w:rPr>
              <w:t>kr</w:t>
            </w:r>
            <w:proofErr w:type="spellEnd"/>
          </w:p>
        </w:tc>
      </w:tr>
      <w:tr w:rsidR="007022D8" w:rsidRPr="0057018B" w14:paraId="68029942" w14:textId="77777777" w:rsidTr="007022D8">
        <w:tc>
          <w:tcPr>
            <w:tcW w:w="3507" w:type="dxa"/>
          </w:tcPr>
          <w:p w14:paraId="2CB3E62C" w14:textId="2916AE38" w:rsidR="007022D8" w:rsidRPr="00D438C0" w:rsidRDefault="007022D8" w:rsidP="007022D8">
            <w:pPr>
              <w:suppressAutoHyphens/>
              <w:spacing w:after="200" w:line="240" w:lineRule="atLeast"/>
              <w:rPr>
                <w:rFonts w:eastAsia="Palatino Linotype"/>
                <w:lang w:val="nb-NO"/>
              </w:rPr>
            </w:pPr>
            <w:r w:rsidRPr="00D438C0">
              <w:rPr>
                <w:rFonts w:eastAsia="Palatino Linotype"/>
                <w:lang w:val="nb-NO"/>
              </w:rPr>
              <w:t>[</w:t>
            </w:r>
            <w:r w:rsidR="00DD0CC3" w:rsidRPr="00D438C0">
              <w:rPr>
                <w:rFonts w:eastAsia="Palatino Linotype"/>
                <w:shd w:val="clear" w:color="auto" w:fill="F3E4B2"/>
                <w:lang w:val="nb-NO"/>
              </w:rPr>
              <w:t>Frist for overlevering av dokumentasjon fra assessor til verifiserer i sertifiseringsportalen</w:t>
            </w:r>
            <w:r w:rsidRPr="00D438C0">
              <w:rPr>
                <w:rFonts w:eastAsia="Palatino Linotype"/>
                <w:lang w:val="nb-NO"/>
              </w:rPr>
              <w:t>]</w:t>
            </w:r>
          </w:p>
        </w:tc>
        <w:tc>
          <w:tcPr>
            <w:tcW w:w="3131" w:type="dxa"/>
          </w:tcPr>
          <w:p w14:paraId="0C920213" w14:textId="49E51E9A" w:rsidR="007022D8" w:rsidRPr="0057018B" w:rsidRDefault="007022D8" w:rsidP="007022D8">
            <w:pPr>
              <w:suppressAutoHyphens/>
              <w:spacing w:after="200" w:line="240" w:lineRule="atLeast"/>
              <w:rPr>
                <w:rFonts w:eastAsia="Palatino Linotype"/>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p>
        </w:tc>
        <w:tc>
          <w:tcPr>
            <w:tcW w:w="2117" w:type="dxa"/>
          </w:tcPr>
          <w:p w14:paraId="58664F71" w14:textId="07D531CD" w:rsidR="007022D8" w:rsidRPr="0057018B" w:rsidRDefault="007022D8" w:rsidP="007022D8">
            <w:pPr>
              <w:suppressAutoHyphens/>
              <w:spacing w:after="200" w:line="240" w:lineRule="atLeast"/>
              <w:rPr>
                <w:rFonts w:eastAsia="Palatino Linotype"/>
                <w:shd w:val="clear" w:color="auto" w:fill="F3E4B2"/>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r w:rsidRPr="0057018B">
              <w:rPr>
                <w:rFonts w:eastAsia="Palatino Linotype"/>
              </w:rPr>
              <w:t xml:space="preserve"> </w:t>
            </w:r>
            <w:proofErr w:type="spellStart"/>
            <w:r w:rsidRPr="0057018B">
              <w:rPr>
                <w:rFonts w:eastAsia="Palatino Linotype"/>
              </w:rPr>
              <w:t>kr</w:t>
            </w:r>
            <w:proofErr w:type="spellEnd"/>
          </w:p>
        </w:tc>
      </w:tr>
      <w:tr w:rsidR="007022D8" w:rsidRPr="0057018B" w14:paraId="16C70772" w14:textId="77777777" w:rsidTr="007022D8">
        <w:tc>
          <w:tcPr>
            <w:tcW w:w="3507" w:type="dxa"/>
          </w:tcPr>
          <w:p w14:paraId="56DBFE9F" w14:textId="77777777" w:rsidR="007022D8" w:rsidRPr="0057018B" w:rsidRDefault="007022D8" w:rsidP="007022D8">
            <w:pPr>
              <w:suppressAutoHyphens/>
              <w:spacing w:after="200" w:line="240" w:lineRule="atLeast"/>
              <w:rPr>
                <w:rFonts w:eastAsia="Palatino Linotype"/>
                <w:b/>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p>
        </w:tc>
        <w:tc>
          <w:tcPr>
            <w:tcW w:w="3131" w:type="dxa"/>
          </w:tcPr>
          <w:p w14:paraId="50C3F327" w14:textId="77777777" w:rsidR="007022D8" w:rsidRPr="0057018B" w:rsidRDefault="007022D8" w:rsidP="007022D8">
            <w:pPr>
              <w:suppressAutoHyphens/>
              <w:spacing w:after="200" w:line="240" w:lineRule="atLeast"/>
              <w:rPr>
                <w:rFonts w:eastAsia="Palatino Linotype"/>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p>
        </w:tc>
        <w:tc>
          <w:tcPr>
            <w:tcW w:w="2117" w:type="dxa"/>
          </w:tcPr>
          <w:p w14:paraId="0853ED66" w14:textId="77777777" w:rsidR="007022D8" w:rsidRPr="0057018B" w:rsidRDefault="007022D8" w:rsidP="007022D8">
            <w:pPr>
              <w:suppressAutoHyphens/>
              <w:spacing w:after="200" w:line="240" w:lineRule="atLeast"/>
              <w:rPr>
                <w:rFonts w:eastAsia="Palatino Linotype"/>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r w:rsidRPr="0057018B">
              <w:rPr>
                <w:rFonts w:eastAsia="Palatino Linotype"/>
              </w:rPr>
              <w:t xml:space="preserve"> </w:t>
            </w:r>
            <w:proofErr w:type="spellStart"/>
            <w:r w:rsidRPr="0057018B">
              <w:rPr>
                <w:rFonts w:eastAsia="Palatino Linotype"/>
              </w:rPr>
              <w:t>kr</w:t>
            </w:r>
            <w:proofErr w:type="spellEnd"/>
          </w:p>
        </w:tc>
      </w:tr>
    </w:tbl>
    <w:p w14:paraId="6C756C64" w14:textId="3DC135C4" w:rsidR="0057018B" w:rsidRPr="0057018B" w:rsidRDefault="0057018B" w:rsidP="0057018B">
      <w:pPr>
        <w:shd w:val="clear" w:color="auto" w:fill="EFEEEC"/>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w:t>
      </w:r>
      <w:r w:rsidRPr="0057018B">
        <w:rPr>
          <w:rFonts w:ascii="Palatino Linotype" w:eastAsia="Palatino Linotype" w:hAnsi="Palatino Linotype" w:cs="Verdana"/>
          <w:i/>
          <w:kern w:val="0"/>
          <w:sz w:val="20"/>
          <w:szCs w:val="20"/>
          <w14:ligatures w14:val="none"/>
        </w:rPr>
        <w:t>Forklaring til tabell som slettes: Tekst i klammer med gul markering er eksempl</w:t>
      </w:r>
      <w:r w:rsidR="00A4770A">
        <w:rPr>
          <w:rFonts w:ascii="Palatino Linotype" w:eastAsia="Palatino Linotype" w:hAnsi="Palatino Linotype" w:cs="Verdana"/>
          <w:i/>
          <w:kern w:val="0"/>
          <w:sz w:val="20"/>
          <w:szCs w:val="20"/>
          <w14:ligatures w14:val="none"/>
        </w:rPr>
        <w:t>er</w:t>
      </w:r>
      <w:r w:rsidRPr="0057018B">
        <w:rPr>
          <w:rFonts w:ascii="Palatino Linotype" w:eastAsia="Palatino Linotype" w:hAnsi="Palatino Linotype" w:cs="Verdana"/>
          <w:i/>
          <w:kern w:val="0"/>
          <w:sz w:val="20"/>
          <w:szCs w:val="20"/>
          <w14:ligatures w14:val="none"/>
        </w:rPr>
        <w:t>. Det er viktig at partene tar selvstendig stilling til hvilke frister som skal gjelde</w:t>
      </w:r>
      <w:r w:rsidR="00A81ACA">
        <w:rPr>
          <w:rFonts w:ascii="Palatino Linotype" w:eastAsia="Palatino Linotype" w:hAnsi="Palatino Linotype" w:cs="Verdana"/>
          <w:i/>
          <w:kern w:val="0"/>
          <w:sz w:val="20"/>
          <w:szCs w:val="20"/>
          <w14:ligatures w14:val="none"/>
        </w:rPr>
        <w:t xml:space="preserve"> i det konkrete prosjektet</w:t>
      </w:r>
      <w:r w:rsidRPr="0057018B">
        <w:rPr>
          <w:rFonts w:ascii="Palatino Linotype" w:eastAsia="Palatino Linotype" w:hAnsi="Palatino Linotype" w:cs="Verdana"/>
          <w:i/>
          <w:kern w:val="0"/>
          <w:sz w:val="20"/>
          <w:szCs w:val="20"/>
          <w14:ligatures w14:val="none"/>
        </w:rPr>
        <w:t>.</w:t>
      </w:r>
      <w:r w:rsidRPr="0057018B">
        <w:rPr>
          <w:rFonts w:ascii="Palatino Linotype" w:eastAsia="Palatino Linotype" w:hAnsi="Palatino Linotype" w:cs="Verdana"/>
          <w:kern w:val="0"/>
          <w:sz w:val="20"/>
          <w:szCs w:val="20"/>
          <w14:ligatures w14:val="none"/>
        </w:rPr>
        <w:t>]</w:t>
      </w:r>
    </w:p>
    <w:p w14:paraId="03F00137"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Byggherren kan ikke kreve dagmulkt etter denne bestemmelsen hvis forsinkelsen skyldes forhold som byggherren er ansvarlig for. </w:t>
      </w:r>
    </w:p>
    <w:p w14:paraId="296B514E" w14:textId="394B8F62"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bookmarkStart w:id="18" w:name="_Ref65621093"/>
      <w:bookmarkStart w:id="19" w:name="_Ref65476842"/>
      <w:r>
        <w:rPr>
          <w:rFonts w:ascii="Palatino Linotype" w:eastAsia="MS Gothic" w:hAnsi="Palatino Linotype" w:cs="Times New Roman"/>
          <w:b/>
          <w:bCs/>
          <w:kern w:val="0"/>
          <w:sz w:val="20"/>
          <w:szCs w:val="26"/>
          <w14:ligatures w14:val="none"/>
        </w:rPr>
        <w:t>I.</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Særlig incentivordning (NS 8407 pkt. 26)</w:t>
      </w:r>
      <w:bookmarkEnd w:id="18"/>
    </w:p>
    <w:p w14:paraId="151AEB44" w14:textId="4FCC934B"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For å stimulere til </w:t>
      </w:r>
      <w:r w:rsidR="005830E1">
        <w:rPr>
          <w:rFonts w:ascii="Palatino Linotype" w:eastAsia="Palatino Linotype" w:hAnsi="Palatino Linotype" w:cs="Verdana"/>
          <w:kern w:val="0"/>
          <w:sz w:val="20"/>
          <w:szCs w:val="20"/>
          <w14:ligatures w14:val="none"/>
        </w:rPr>
        <w:t>ytterligere</w:t>
      </w:r>
      <w:r w:rsidRPr="0057018B">
        <w:rPr>
          <w:rFonts w:ascii="Palatino Linotype" w:eastAsia="Palatino Linotype" w:hAnsi="Palatino Linotype" w:cs="Verdana"/>
          <w:kern w:val="0"/>
          <w:sz w:val="20"/>
          <w:szCs w:val="20"/>
          <w14:ligatures w14:val="none"/>
        </w:rPr>
        <w:t xml:space="preserve"> </w:t>
      </w:r>
      <w:r w:rsidR="00BF3D1D">
        <w:rPr>
          <w:rFonts w:ascii="Palatino Linotype" w:eastAsia="Palatino Linotype" w:hAnsi="Palatino Linotype" w:cs="Verdana"/>
          <w:kern w:val="0"/>
          <w:sz w:val="20"/>
          <w:szCs w:val="20"/>
          <w14:ligatures w14:val="none"/>
        </w:rPr>
        <w:t>bærekraft</w:t>
      </w:r>
      <w:r w:rsidR="005830E1">
        <w:rPr>
          <w:rFonts w:ascii="Palatino Linotype" w:eastAsia="Palatino Linotype" w:hAnsi="Palatino Linotype" w:cs="Verdana"/>
          <w:kern w:val="0"/>
          <w:sz w:val="20"/>
          <w:szCs w:val="20"/>
          <w14:ligatures w14:val="none"/>
        </w:rPr>
        <w:t>ige kvaliteter</w:t>
      </w:r>
      <w:r w:rsidRPr="0057018B">
        <w:rPr>
          <w:rFonts w:ascii="Palatino Linotype" w:eastAsia="Palatino Linotype" w:hAnsi="Palatino Linotype" w:cs="Verdana"/>
          <w:kern w:val="0"/>
          <w:sz w:val="20"/>
          <w:szCs w:val="20"/>
          <w14:ligatures w14:val="none"/>
        </w:rPr>
        <w:t xml:space="preserve"> i prosjektet, har partene blitt enige om følgende incentivordninger: </w:t>
      </w:r>
    </w:p>
    <w:tbl>
      <w:tblPr>
        <w:tblStyle w:val="Rutenettabell1lysuthevingsfarge21"/>
        <w:tblW w:w="8755" w:type="dxa"/>
        <w:tblLook w:val="0400" w:firstRow="0" w:lastRow="0" w:firstColumn="0" w:lastColumn="0" w:noHBand="0" w:noVBand="1"/>
      </w:tblPr>
      <w:tblGrid>
        <w:gridCol w:w="6516"/>
        <w:gridCol w:w="2239"/>
      </w:tblGrid>
      <w:tr w:rsidR="0057018B" w:rsidRPr="0057018B" w14:paraId="1A80673E" w14:textId="77777777" w:rsidTr="00F522FF">
        <w:tc>
          <w:tcPr>
            <w:tcW w:w="6516" w:type="dxa"/>
          </w:tcPr>
          <w:p w14:paraId="44C03F95" w14:textId="11B57FCF" w:rsidR="0057018B" w:rsidRPr="0057018B" w:rsidRDefault="0057018B" w:rsidP="0057018B">
            <w:pPr>
              <w:suppressAutoHyphens/>
              <w:spacing w:after="200" w:line="240" w:lineRule="atLeast"/>
              <w:rPr>
                <w:rFonts w:eastAsia="Palatino Linotype"/>
              </w:rPr>
            </w:pPr>
            <w:r w:rsidRPr="00D438C0">
              <w:rPr>
                <w:rFonts w:eastAsia="Palatino Linotype"/>
                <w:lang w:val="nb-NO"/>
              </w:rPr>
              <w:t xml:space="preserve">Oppnår kontraktsgjenstanden et høyere sertifiseringsnivå enn avtalt i pkt. </w:t>
            </w:r>
            <w:r w:rsidR="00E56EE3">
              <w:rPr>
                <w:rFonts w:eastAsia="Palatino Linotype"/>
              </w:rPr>
              <w:t>B</w:t>
            </w:r>
            <w:r w:rsidR="00E56EE3" w:rsidRPr="0057018B">
              <w:rPr>
                <w:rFonts w:eastAsia="Palatino Linotype"/>
              </w:rPr>
              <w:t xml:space="preserve"> </w:t>
            </w:r>
            <w:r w:rsidRPr="0057018B">
              <w:rPr>
                <w:rFonts w:eastAsia="Palatino Linotype"/>
              </w:rPr>
              <w:t xml:space="preserve">skal totalentreprenøren </w:t>
            </w:r>
            <w:proofErr w:type="spellStart"/>
            <w:r w:rsidRPr="0057018B">
              <w:rPr>
                <w:rFonts w:eastAsia="Palatino Linotype"/>
              </w:rPr>
              <w:t>motta</w:t>
            </w:r>
            <w:proofErr w:type="spellEnd"/>
            <w:r w:rsidRPr="0057018B">
              <w:rPr>
                <w:rFonts w:eastAsia="Palatino Linotype"/>
              </w:rPr>
              <w:t xml:space="preserve"> et vederlag på;</w:t>
            </w:r>
          </w:p>
        </w:tc>
        <w:tc>
          <w:tcPr>
            <w:tcW w:w="2239" w:type="dxa"/>
          </w:tcPr>
          <w:p w14:paraId="1E541398" w14:textId="77777777" w:rsidR="0057018B" w:rsidRPr="0057018B" w:rsidRDefault="0057018B" w:rsidP="0057018B">
            <w:pPr>
              <w:suppressAutoHyphens/>
              <w:spacing w:after="200" w:line="240" w:lineRule="atLeast"/>
              <w:rPr>
                <w:rFonts w:eastAsia="Palatino Linotype"/>
              </w:rPr>
            </w:pPr>
            <w:proofErr w:type="spellStart"/>
            <w:r w:rsidRPr="0057018B">
              <w:rPr>
                <w:rFonts w:eastAsia="Palatino Linotype"/>
              </w:rPr>
              <w:t>Avtalt</w:t>
            </w:r>
            <w:proofErr w:type="spellEnd"/>
            <w:r w:rsidRPr="0057018B">
              <w:rPr>
                <w:rFonts w:eastAsia="Palatino Linotype"/>
              </w:rPr>
              <w:t xml:space="preserve"> </w:t>
            </w:r>
            <w:proofErr w:type="spellStart"/>
            <w:r w:rsidRPr="0057018B">
              <w:rPr>
                <w:rFonts w:eastAsia="Palatino Linotype"/>
              </w:rPr>
              <w:t>beløp</w:t>
            </w:r>
            <w:proofErr w:type="spellEnd"/>
            <w:r w:rsidRPr="0057018B">
              <w:rPr>
                <w:rFonts w:eastAsia="Palatino Linotype"/>
              </w:rPr>
              <w:t xml:space="preserve">: </w:t>
            </w:r>
            <w:r w:rsidRPr="0057018B">
              <w:rPr>
                <w:rFonts w:eastAsia="Palatino Linotype"/>
              </w:rPr>
              <w:br/>
            </w: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r w:rsidRPr="0057018B">
              <w:rPr>
                <w:rFonts w:eastAsia="Palatino Linotype"/>
              </w:rPr>
              <w:t xml:space="preserve"> </w:t>
            </w:r>
          </w:p>
        </w:tc>
      </w:tr>
      <w:tr w:rsidR="0057018B" w:rsidRPr="0057018B" w14:paraId="1430F054" w14:textId="77777777" w:rsidTr="00F522FF">
        <w:tc>
          <w:tcPr>
            <w:tcW w:w="6516" w:type="dxa"/>
          </w:tcPr>
          <w:p w14:paraId="4B0571C4" w14:textId="77777777" w:rsidR="0057018B" w:rsidRPr="0057018B" w:rsidRDefault="0057018B" w:rsidP="0057018B">
            <w:pPr>
              <w:suppressAutoHyphens/>
              <w:spacing w:after="200" w:line="240" w:lineRule="atLeast"/>
              <w:rPr>
                <w:rFonts w:eastAsia="Palatino Linotype"/>
              </w:rPr>
            </w:pPr>
            <w:r w:rsidRPr="00D438C0">
              <w:rPr>
                <w:rFonts w:eastAsia="Palatino Linotype"/>
                <w:lang w:val="nb-NO"/>
              </w:rPr>
              <w:t>Oppnår kontraktsgjenstanden et høyere antall poeng innenfor [</w:t>
            </w:r>
            <w:r w:rsidRPr="00D438C0">
              <w:rPr>
                <w:rFonts w:eastAsia="Palatino Linotype"/>
                <w:iCs/>
                <w:shd w:val="clear" w:color="auto" w:fill="F3E4B2"/>
                <w:lang w:val="nb-NO"/>
              </w:rPr>
              <w:t>legge inn emne/revisjonskategori</w:t>
            </w:r>
            <w:r w:rsidRPr="00D438C0">
              <w:rPr>
                <w:rFonts w:eastAsia="Palatino Linotype"/>
                <w:lang w:val="nb-NO"/>
              </w:rPr>
              <w:t xml:space="preserve">] enn avtalt i pkt. </w:t>
            </w:r>
            <w:r w:rsidRPr="0057018B">
              <w:rPr>
                <w:rFonts w:eastAsia="Palatino Linotype"/>
              </w:rPr>
              <w:t>B skal totalentreprenøren få et vederlag på;</w:t>
            </w:r>
          </w:p>
        </w:tc>
        <w:tc>
          <w:tcPr>
            <w:tcW w:w="2239" w:type="dxa"/>
          </w:tcPr>
          <w:p w14:paraId="2AEA478B" w14:textId="77777777" w:rsidR="0057018B" w:rsidRPr="0057018B" w:rsidRDefault="0057018B" w:rsidP="0057018B">
            <w:pPr>
              <w:suppressAutoHyphens/>
              <w:spacing w:after="200" w:line="240" w:lineRule="atLeast"/>
              <w:rPr>
                <w:rFonts w:eastAsia="Palatino Linotype"/>
              </w:rPr>
            </w:pPr>
            <w:proofErr w:type="spellStart"/>
            <w:r w:rsidRPr="0057018B">
              <w:rPr>
                <w:rFonts w:eastAsia="Palatino Linotype"/>
              </w:rPr>
              <w:t>Avtalt</w:t>
            </w:r>
            <w:proofErr w:type="spellEnd"/>
            <w:r w:rsidRPr="0057018B">
              <w:rPr>
                <w:rFonts w:eastAsia="Palatino Linotype"/>
              </w:rPr>
              <w:t xml:space="preserve"> bonus:</w:t>
            </w:r>
          </w:p>
          <w:p w14:paraId="78C76314" w14:textId="77777777" w:rsidR="0057018B" w:rsidRPr="0057018B" w:rsidRDefault="0057018B" w:rsidP="0057018B">
            <w:pPr>
              <w:suppressAutoHyphens/>
              <w:spacing w:after="200" w:line="240" w:lineRule="atLeast"/>
              <w:rPr>
                <w:rFonts w:eastAsia="Palatino Linotype"/>
              </w:rPr>
            </w:pPr>
            <w:r w:rsidRPr="0057018B">
              <w:rPr>
                <w:rFonts w:eastAsia="Palatino Linotype"/>
                <w:shd w:val="clear" w:color="auto" w:fill="F3E4B2"/>
              </w:rPr>
              <w:fldChar w:fldCharType="begin"/>
            </w:r>
            <w:r w:rsidRPr="0057018B">
              <w:rPr>
                <w:rFonts w:eastAsia="Palatino Linotype"/>
                <w:shd w:val="clear" w:color="auto" w:fill="F3E4B2"/>
              </w:rPr>
              <w:instrText>MACROBUTTON NN [•]</w:instrText>
            </w:r>
            <w:r w:rsidRPr="0057018B">
              <w:rPr>
                <w:rFonts w:eastAsia="Palatino Linotype"/>
                <w:shd w:val="clear" w:color="auto" w:fill="F3E4B2"/>
              </w:rPr>
              <w:fldChar w:fldCharType="end"/>
            </w:r>
            <w:r w:rsidRPr="0057018B">
              <w:rPr>
                <w:rFonts w:eastAsia="Palatino Linotype"/>
              </w:rPr>
              <w:t xml:space="preserve">  </w:t>
            </w:r>
          </w:p>
        </w:tc>
      </w:tr>
    </w:tbl>
    <w:p w14:paraId="348075F2" w14:textId="77777777" w:rsidR="0057018B" w:rsidRPr="0057018B" w:rsidRDefault="0057018B" w:rsidP="0057018B">
      <w:pPr>
        <w:shd w:val="clear" w:color="auto" w:fill="EFEEEC"/>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shd w:val="clear" w:color="auto" w:fill="EFEEEC"/>
          <w14:ligatures w14:val="none"/>
        </w:rPr>
        <w:t>[</w:t>
      </w:r>
      <w:r w:rsidRPr="0057018B">
        <w:rPr>
          <w:rFonts w:ascii="Palatino Linotype" w:eastAsia="Palatino Linotype" w:hAnsi="Palatino Linotype" w:cs="Verdana"/>
          <w:i/>
          <w:kern w:val="0"/>
          <w:sz w:val="20"/>
          <w:szCs w:val="20"/>
          <w:shd w:val="clear" w:color="auto" w:fill="EFEEEC"/>
          <w14:ligatures w14:val="none"/>
        </w:rPr>
        <w:t>Forklaring til tabell som slettes: Tabellen inneholder forslag til mulige incentivordninger som partene kan velge om de vil bruke. Eventuelle incentiver bør samordnes med øvrige bestemmelser om misligholdsbeføyelser, vederlag og betaling.</w:t>
      </w:r>
      <w:r w:rsidRPr="0057018B">
        <w:rPr>
          <w:rFonts w:ascii="Palatino Linotype" w:eastAsia="Palatino Linotype" w:hAnsi="Palatino Linotype" w:cs="Verdana"/>
          <w:kern w:val="0"/>
          <w:sz w:val="20"/>
          <w:szCs w:val="20"/>
          <w:shd w:val="clear" w:color="auto" w:fill="EFEEEC"/>
          <w14:ligatures w14:val="none"/>
        </w:rPr>
        <w:t>]</w:t>
      </w:r>
    </w:p>
    <w:p w14:paraId="3F399DEE" w14:textId="3CB03964" w:rsidR="0057018B" w:rsidRPr="0057018B" w:rsidRDefault="008653BC" w:rsidP="0057018B">
      <w:pPr>
        <w:keepNext/>
        <w:keepLines/>
        <w:numPr>
          <w:ilvl w:val="1"/>
          <w:numId w:val="0"/>
        </w:numPr>
        <w:pBdr>
          <w:top w:val="single" w:sz="18" w:space="1" w:color="DBE6E8"/>
          <w:bottom w:val="single" w:sz="18" w:space="1" w:color="DBE6E8"/>
        </w:pBdr>
        <w:shd w:val="clear" w:color="auto" w:fill="DBE6E8"/>
        <w:suppressAutoHyphens/>
        <w:spacing w:before="360" w:after="60" w:line="240" w:lineRule="atLeast"/>
        <w:ind w:left="794" w:hanging="794"/>
        <w:contextualSpacing/>
        <w:outlineLvl w:val="1"/>
        <w:rPr>
          <w:rFonts w:ascii="Palatino Linotype" w:eastAsia="MS Gothic" w:hAnsi="Palatino Linotype" w:cs="Times New Roman"/>
          <w:b/>
          <w:bCs/>
          <w:kern w:val="0"/>
          <w:sz w:val="20"/>
          <w:szCs w:val="26"/>
          <w14:ligatures w14:val="none"/>
        </w:rPr>
      </w:pPr>
      <w:r>
        <w:rPr>
          <w:rFonts w:ascii="Palatino Linotype" w:eastAsia="MS Gothic" w:hAnsi="Palatino Linotype" w:cs="Times New Roman"/>
          <w:b/>
          <w:bCs/>
          <w:kern w:val="0"/>
          <w:sz w:val="20"/>
          <w:szCs w:val="26"/>
          <w14:ligatures w14:val="none"/>
        </w:rPr>
        <w:lastRenderedPageBreak/>
        <w:t>J.</w:t>
      </w:r>
      <w:r>
        <w:rPr>
          <w:rFonts w:ascii="Palatino Linotype" w:eastAsia="MS Gothic" w:hAnsi="Palatino Linotype" w:cs="Times New Roman"/>
          <w:b/>
          <w:bCs/>
          <w:kern w:val="0"/>
          <w:sz w:val="20"/>
          <w:szCs w:val="26"/>
          <w14:ligatures w14:val="none"/>
        </w:rPr>
        <w:tab/>
      </w:r>
      <w:r w:rsidR="0057018B" w:rsidRPr="0057018B">
        <w:rPr>
          <w:rFonts w:ascii="Palatino Linotype" w:eastAsia="MS Gothic" w:hAnsi="Palatino Linotype" w:cs="Times New Roman"/>
          <w:b/>
          <w:bCs/>
          <w:kern w:val="0"/>
          <w:sz w:val="20"/>
          <w:szCs w:val="26"/>
          <w14:ligatures w14:val="none"/>
        </w:rPr>
        <w:t>Mangler ved kontraktsgjenstanden (NS 8407 pkt. 42)</w:t>
      </w:r>
      <w:bookmarkEnd w:id="19"/>
    </w:p>
    <w:p w14:paraId="206C8536" w14:textId="505EBCDC" w:rsidR="0057018B" w:rsidRPr="0057018B" w:rsidRDefault="008653BC" w:rsidP="0057018B">
      <w:pPr>
        <w:keepNext/>
        <w:keepLines/>
        <w:numPr>
          <w:ilvl w:val="2"/>
          <w:numId w:val="0"/>
        </w:numPr>
        <w:suppressAutoHyphens/>
        <w:spacing w:after="60" w:line="240" w:lineRule="atLeast"/>
        <w:ind w:left="794" w:hanging="794"/>
        <w:contextualSpacing/>
        <w:outlineLvl w:val="2"/>
        <w:rPr>
          <w:rFonts w:ascii="Palatino Linotype" w:eastAsia="MS Gothic" w:hAnsi="Palatino Linotype" w:cs="Times New Roman"/>
          <w:b/>
          <w:bCs/>
          <w:kern w:val="0"/>
          <w:sz w:val="20"/>
          <w:szCs w:val="20"/>
          <w14:ligatures w14:val="none"/>
        </w:rPr>
      </w:pPr>
      <w:bookmarkStart w:id="20" w:name="_Ref65481741"/>
      <w:r>
        <w:rPr>
          <w:rFonts w:ascii="Palatino Linotype" w:eastAsia="MS Gothic" w:hAnsi="Palatino Linotype" w:cs="Times New Roman"/>
          <w:b/>
          <w:bCs/>
          <w:kern w:val="0"/>
          <w:sz w:val="20"/>
          <w:szCs w:val="20"/>
          <w14:ligatures w14:val="none"/>
        </w:rPr>
        <w:t>J.1</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Mangel (NS 8407 pkt. 42.1)</w:t>
      </w:r>
      <w:bookmarkEnd w:id="20"/>
    </w:p>
    <w:p w14:paraId="7E3F229C"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Det foreligger mangel etter NS 8407 pkt. 42.1 dersom ett eller flere av følgende forhold inntrer, og det skyldes forhold totalentreprenøren svarer for: </w:t>
      </w:r>
    </w:p>
    <w:p w14:paraId="571FAB23" w14:textId="5F25BD58" w:rsidR="0057018B" w:rsidRPr="007333E3" w:rsidRDefault="0057018B" w:rsidP="007333E3">
      <w:pPr>
        <w:pStyle w:val="Listeavsnitt"/>
        <w:numPr>
          <w:ilvl w:val="0"/>
          <w:numId w:val="8"/>
        </w:numPr>
        <w:suppressAutoHyphens/>
        <w:spacing w:after="200" w:line="240" w:lineRule="atLeast"/>
        <w:jc w:val="both"/>
        <w:rPr>
          <w:rFonts w:ascii="Palatino Linotype" w:eastAsia="Palatino Linotype" w:hAnsi="Palatino Linotype" w:cs="Verdana"/>
          <w:kern w:val="0"/>
          <w:sz w:val="20"/>
          <w:szCs w:val="20"/>
          <w14:ligatures w14:val="none"/>
        </w:rPr>
      </w:pPr>
      <w:r w:rsidRPr="007333E3">
        <w:rPr>
          <w:rFonts w:ascii="Palatino Linotype" w:eastAsia="Palatino Linotype" w:hAnsi="Palatino Linotype" w:cs="Verdana"/>
          <w:kern w:val="0"/>
          <w:sz w:val="20"/>
          <w:szCs w:val="20"/>
          <w14:ligatures w14:val="none"/>
        </w:rPr>
        <w:t>avtalt sertifiseringsnivå etter pkt.</w:t>
      </w:r>
      <w:r w:rsidR="00E56EE3">
        <w:rPr>
          <w:rFonts w:ascii="Palatino Linotype" w:eastAsia="Palatino Linotype" w:hAnsi="Palatino Linotype" w:cs="Verdana"/>
          <w:kern w:val="0"/>
          <w:sz w:val="20"/>
          <w:szCs w:val="20"/>
          <w14:ligatures w14:val="none"/>
        </w:rPr>
        <w:t xml:space="preserve"> B</w:t>
      </w:r>
      <w:r w:rsidRPr="007333E3">
        <w:rPr>
          <w:rFonts w:ascii="Palatino Linotype" w:eastAsia="Palatino Linotype" w:hAnsi="Palatino Linotype" w:cs="Verdana"/>
          <w:kern w:val="0"/>
          <w:sz w:val="20"/>
          <w:szCs w:val="20"/>
          <w14:ligatures w14:val="none"/>
        </w:rPr>
        <w:t xml:space="preserve"> oppnås ikke; </w:t>
      </w:r>
    </w:p>
    <w:p w14:paraId="74F55047" w14:textId="1F2E3153" w:rsidR="0057018B" w:rsidRPr="007333E3" w:rsidRDefault="0057018B" w:rsidP="007333E3">
      <w:pPr>
        <w:pStyle w:val="Listeavsnitt"/>
        <w:numPr>
          <w:ilvl w:val="0"/>
          <w:numId w:val="8"/>
        </w:numPr>
        <w:suppressAutoHyphens/>
        <w:spacing w:after="200" w:line="240" w:lineRule="atLeast"/>
        <w:jc w:val="both"/>
        <w:rPr>
          <w:rFonts w:ascii="Palatino Linotype" w:eastAsia="Palatino Linotype" w:hAnsi="Palatino Linotype" w:cs="Verdana"/>
          <w:kern w:val="0"/>
          <w:sz w:val="20"/>
          <w:szCs w:val="20"/>
          <w14:ligatures w14:val="none"/>
        </w:rPr>
      </w:pPr>
      <w:r w:rsidRPr="007333E3">
        <w:rPr>
          <w:rFonts w:ascii="Palatino Linotype" w:eastAsia="Palatino Linotype" w:hAnsi="Palatino Linotype" w:cs="Verdana"/>
          <w:kern w:val="0"/>
          <w:sz w:val="20"/>
          <w:szCs w:val="20"/>
          <w14:ligatures w14:val="none"/>
        </w:rPr>
        <w:t xml:space="preserve">avtalte krav og poeng for BREEAM-ytelsen i pkt. </w:t>
      </w:r>
      <w:r w:rsidR="00E56EE3">
        <w:rPr>
          <w:rFonts w:ascii="Palatino Linotype" w:eastAsia="Palatino Linotype" w:hAnsi="Palatino Linotype" w:cs="Verdana"/>
          <w:kern w:val="0"/>
          <w:sz w:val="20"/>
          <w:szCs w:val="20"/>
          <w14:ligatures w14:val="none"/>
        </w:rPr>
        <w:t xml:space="preserve">B </w:t>
      </w:r>
      <w:r w:rsidRPr="007333E3">
        <w:rPr>
          <w:rFonts w:ascii="Palatino Linotype" w:eastAsia="Palatino Linotype" w:hAnsi="Palatino Linotype" w:cs="Verdana"/>
          <w:kern w:val="0"/>
          <w:sz w:val="20"/>
          <w:szCs w:val="20"/>
          <w14:ligatures w14:val="none"/>
        </w:rPr>
        <w:t xml:space="preserve">oppfylles ikke. </w:t>
      </w:r>
    </w:p>
    <w:p w14:paraId="0215A996" w14:textId="5C299765"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bookmarkStart w:id="21" w:name="_Ref65778442"/>
      <w:r>
        <w:rPr>
          <w:rFonts w:ascii="Palatino Linotype" w:eastAsia="MS Gothic" w:hAnsi="Palatino Linotype" w:cs="Times New Roman"/>
          <w:b/>
          <w:bCs/>
          <w:kern w:val="0"/>
          <w:sz w:val="20"/>
          <w:szCs w:val="20"/>
          <w14:ligatures w14:val="none"/>
        </w:rPr>
        <w:t>J.2</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Utbedring (NS 8407 pkt. 42.3)</w:t>
      </w:r>
      <w:bookmarkEnd w:id="21"/>
    </w:p>
    <w:p w14:paraId="1417814A"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Totalentreprenøren plikter å utbedre mangler etter reglene i NS 8407 pkt. 42.3 med mindre totalentreprenøren godtgjør at kostnadene til utbedring er klart uforholdsmessige i forhold til det som oppnås.</w:t>
      </w:r>
    </w:p>
    <w:p w14:paraId="64C7A449" w14:textId="02E1D8DA"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Selv om ratifiserer ikke tillater endring i klassifiseringsnivået eller oppfylling av poeng etter ratifisering, skal </w:t>
      </w:r>
      <w:r w:rsidR="00D03CCF">
        <w:rPr>
          <w:rFonts w:ascii="Palatino Linotype" w:eastAsia="Palatino Linotype" w:hAnsi="Palatino Linotype" w:cs="Verdana"/>
          <w:kern w:val="0"/>
          <w:sz w:val="20"/>
          <w:szCs w:val="20"/>
          <w14:ligatures w14:val="none"/>
        </w:rPr>
        <w:t>dokumentasjon</w:t>
      </w:r>
      <w:r w:rsidR="00D03CCF" w:rsidRPr="0057018B">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 xml:space="preserve">utbedres for totalentreprenøres regning dersom byggherren krever det. </w:t>
      </w:r>
    </w:p>
    <w:p w14:paraId="59F68266" w14:textId="77777777"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Byggherren skal fastsette en rimelig frist for utbedring. Dersom utbedring ikke er foretatt innen den fastsatte fristen, kan byggherren kreve at totalentreprenøren betaler rimelige og forsvarlige kostnader til utbedring av mangelen.</w:t>
      </w:r>
    </w:p>
    <w:p w14:paraId="60F562E3" w14:textId="33D36ACA"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bookmarkStart w:id="22" w:name="_Ref65779015"/>
      <w:r>
        <w:rPr>
          <w:rFonts w:ascii="Palatino Linotype" w:eastAsia="MS Gothic" w:hAnsi="Palatino Linotype" w:cs="Times New Roman"/>
          <w:b/>
          <w:bCs/>
          <w:kern w:val="0"/>
          <w:sz w:val="20"/>
          <w:szCs w:val="20"/>
          <w14:ligatures w14:val="none"/>
        </w:rPr>
        <w:t>J.3</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Prisavslag (NS 8407 pkt. 42.4)</w:t>
      </w:r>
      <w:bookmarkEnd w:id="22"/>
    </w:p>
    <w:p w14:paraId="40DF8484" w14:textId="1587ABC9"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Dersom en mangel etter </w:t>
      </w:r>
      <w:r w:rsidR="00E56EE3">
        <w:rPr>
          <w:rFonts w:ascii="Palatino Linotype" w:eastAsia="Palatino Linotype" w:hAnsi="Palatino Linotype" w:cs="Verdana"/>
          <w:kern w:val="0"/>
          <w:sz w:val="20"/>
          <w:szCs w:val="20"/>
          <w14:ligatures w14:val="none"/>
        </w:rPr>
        <w:t>J.1</w:t>
      </w:r>
      <w:r w:rsidRPr="0057018B">
        <w:rPr>
          <w:rFonts w:ascii="Palatino Linotype" w:eastAsia="Palatino Linotype" w:hAnsi="Palatino Linotype" w:cs="Verdana"/>
          <w:kern w:val="0"/>
          <w:sz w:val="20"/>
          <w:szCs w:val="20"/>
          <w14:ligatures w14:val="none"/>
        </w:rPr>
        <w:t xml:space="preserve"> ikke utbedres, kan byggherren kreve prisavslag etter NS 8407 pkt. 42.4. </w:t>
      </w:r>
    </w:p>
    <w:p w14:paraId="59EBA4ED" w14:textId="169A92F3" w:rsidR="0057018B" w:rsidRPr="0057018B" w:rsidRDefault="008653BC" w:rsidP="0057018B">
      <w:pPr>
        <w:keepNext/>
        <w:keepLines/>
        <w:numPr>
          <w:ilvl w:val="2"/>
          <w:numId w:val="0"/>
        </w:numPr>
        <w:suppressAutoHyphens/>
        <w:spacing w:before="240" w:after="60" w:line="240" w:lineRule="atLeast"/>
        <w:ind w:left="794" w:hanging="794"/>
        <w:contextualSpacing/>
        <w:outlineLvl w:val="2"/>
        <w:rPr>
          <w:rFonts w:ascii="Palatino Linotype" w:eastAsia="MS Gothic" w:hAnsi="Palatino Linotype" w:cs="Times New Roman"/>
          <w:b/>
          <w:bCs/>
          <w:kern w:val="0"/>
          <w:sz w:val="20"/>
          <w:szCs w:val="20"/>
          <w14:ligatures w14:val="none"/>
        </w:rPr>
      </w:pPr>
      <w:r>
        <w:rPr>
          <w:rFonts w:ascii="Palatino Linotype" w:eastAsia="MS Gothic" w:hAnsi="Palatino Linotype" w:cs="Times New Roman"/>
          <w:b/>
          <w:bCs/>
          <w:kern w:val="0"/>
          <w:sz w:val="20"/>
          <w:szCs w:val="20"/>
          <w14:ligatures w14:val="none"/>
        </w:rPr>
        <w:t>J.4</w:t>
      </w:r>
      <w:r>
        <w:rPr>
          <w:rFonts w:ascii="Palatino Linotype" w:eastAsia="MS Gothic" w:hAnsi="Palatino Linotype" w:cs="Times New Roman"/>
          <w:b/>
          <w:bCs/>
          <w:kern w:val="0"/>
          <w:sz w:val="20"/>
          <w:szCs w:val="20"/>
          <w14:ligatures w14:val="none"/>
        </w:rPr>
        <w:tab/>
      </w:r>
      <w:r w:rsidR="0057018B" w:rsidRPr="0057018B">
        <w:rPr>
          <w:rFonts w:ascii="Palatino Linotype" w:eastAsia="MS Gothic" w:hAnsi="Palatino Linotype" w:cs="Times New Roman"/>
          <w:b/>
          <w:bCs/>
          <w:kern w:val="0"/>
          <w:sz w:val="20"/>
          <w:szCs w:val="20"/>
          <w14:ligatures w14:val="none"/>
        </w:rPr>
        <w:t>Erstatning (NS 8407 pkt. 42.5)</w:t>
      </w:r>
    </w:p>
    <w:p w14:paraId="4023044B" w14:textId="1EF4EB65"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Byggherren kan kreve erstatning etter NS 8407 pkt. 42.5 selv om en mangel etter </w:t>
      </w:r>
      <w:r w:rsidR="00E56EE3">
        <w:rPr>
          <w:rFonts w:ascii="Palatino Linotype" w:eastAsia="Palatino Linotype" w:hAnsi="Palatino Linotype" w:cs="Verdana"/>
          <w:kern w:val="0"/>
          <w:sz w:val="20"/>
          <w:szCs w:val="20"/>
          <w14:ligatures w14:val="none"/>
        </w:rPr>
        <w:t>J.1</w:t>
      </w:r>
      <w:r w:rsidR="00E56EE3" w:rsidRPr="0057018B">
        <w:rPr>
          <w:rFonts w:ascii="Palatino Linotype" w:eastAsia="Palatino Linotype" w:hAnsi="Palatino Linotype" w:cs="Verdana"/>
          <w:kern w:val="0"/>
          <w:sz w:val="20"/>
          <w:szCs w:val="20"/>
          <w14:ligatures w14:val="none"/>
        </w:rPr>
        <w:t xml:space="preserve"> </w:t>
      </w:r>
      <w:r w:rsidRPr="0057018B">
        <w:rPr>
          <w:rFonts w:ascii="Palatino Linotype" w:eastAsia="Palatino Linotype" w:hAnsi="Palatino Linotype" w:cs="Verdana"/>
          <w:kern w:val="0"/>
          <w:sz w:val="20"/>
          <w:szCs w:val="20"/>
          <w14:ligatures w14:val="none"/>
        </w:rPr>
        <w:t xml:space="preserve">utbedres eller byggherren tilkjennes prisavslag. </w:t>
      </w:r>
    </w:p>
    <w:p w14:paraId="1A68962D" w14:textId="7943A81A" w:rsidR="0057018B" w:rsidRPr="0057018B" w:rsidRDefault="0057018B" w:rsidP="0057018B">
      <w:pPr>
        <w:suppressAutoHyphens/>
        <w:spacing w:after="200" w:line="240" w:lineRule="atLeast"/>
        <w:jc w:val="both"/>
        <w:rPr>
          <w:rFonts w:ascii="Palatino Linotype" w:eastAsia="Palatino Linotype" w:hAnsi="Palatino Linotype" w:cs="Verdana"/>
          <w:kern w:val="0"/>
          <w:sz w:val="20"/>
          <w:szCs w:val="20"/>
          <w14:ligatures w14:val="none"/>
        </w:rPr>
      </w:pPr>
      <w:r w:rsidRPr="0057018B">
        <w:rPr>
          <w:rFonts w:ascii="Palatino Linotype" w:eastAsia="Palatino Linotype" w:hAnsi="Palatino Linotype" w:cs="Verdana"/>
          <w:kern w:val="0"/>
          <w:sz w:val="20"/>
          <w:szCs w:val="20"/>
          <w14:ligatures w14:val="none"/>
        </w:rPr>
        <w:t xml:space="preserve">Byggherren kan kreve erstatning for økonomisk tap, herunder tapt fortjeneste, økte finansieringskostnader eller økte kostnader til assessor, verifiserer, ratifiserer og BRE, som ikke dekkes av bestemmelsene i </w:t>
      </w:r>
      <w:r w:rsidR="00E56EE3">
        <w:rPr>
          <w:rFonts w:ascii="Palatino Linotype" w:eastAsia="Palatino Linotype" w:hAnsi="Palatino Linotype" w:cs="Verdana"/>
          <w:kern w:val="0"/>
          <w:sz w:val="20"/>
          <w:szCs w:val="20"/>
          <w14:ligatures w14:val="none"/>
        </w:rPr>
        <w:t>J.2</w:t>
      </w:r>
      <w:r w:rsidRPr="0057018B">
        <w:rPr>
          <w:rFonts w:ascii="Palatino Linotype" w:eastAsia="Palatino Linotype" w:hAnsi="Palatino Linotype" w:cs="Verdana"/>
          <w:kern w:val="0"/>
          <w:sz w:val="20"/>
          <w:szCs w:val="20"/>
          <w14:ligatures w14:val="none"/>
        </w:rPr>
        <w:t xml:space="preserve"> og </w:t>
      </w:r>
      <w:r w:rsidR="00E56EE3">
        <w:rPr>
          <w:rFonts w:ascii="Palatino Linotype" w:eastAsia="Palatino Linotype" w:hAnsi="Palatino Linotype" w:cs="Verdana"/>
          <w:kern w:val="0"/>
          <w:sz w:val="20"/>
          <w:szCs w:val="20"/>
          <w14:ligatures w14:val="none"/>
        </w:rPr>
        <w:t>J.3</w:t>
      </w:r>
      <w:r w:rsidRPr="0057018B">
        <w:rPr>
          <w:rFonts w:ascii="Palatino Linotype" w:eastAsia="Palatino Linotype" w:hAnsi="Palatino Linotype" w:cs="Verdana"/>
          <w:kern w:val="0"/>
          <w:sz w:val="20"/>
          <w:szCs w:val="20"/>
          <w14:ligatures w14:val="none"/>
        </w:rPr>
        <w:t xml:space="preserve"> dersom mangelen skyldes uaktsomhet fra totalentreprenørens side.</w:t>
      </w:r>
      <w:bookmarkEnd w:id="0"/>
    </w:p>
    <w:p w14:paraId="3E0FF83F" w14:textId="0B51F338" w:rsidR="0057018B" w:rsidRDefault="0057018B"/>
    <w:sectPr w:rsidR="005701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055C" w14:textId="77777777" w:rsidR="002B3E63" w:rsidRDefault="002B3E63" w:rsidP="0057018B">
      <w:pPr>
        <w:spacing w:after="0" w:line="240" w:lineRule="auto"/>
      </w:pPr>
      <w:r>
        <w:separator/>
      </w:r>
    </w:p>
  </w:endnote>
  <w:endnote w:type="continuationSeparator" w:id="0">
    <w:p w14:paraId="37E3DFC5" w14:textId="77777777" w:rsidR="002B3E63" w:rsidRDefault="002B3E63" w:rsidP="0057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9FE0" w14:textId="77777777" w:rsidR="006D5BBB" w:rsidRDefault="006D5B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ACA7" w14:textId="77777777" w:rsidR="006D5BBB" w:rsidRDefault="006D5B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A64B" w14:textId="77777777" w:rsidR="006D5BBB" w:rsidRDefault="006D5B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7082" w14:textId="77777777" w:rsidR="002B3E63" w:rsidRDefault="002B3E63" w:rsidP="0057018B">
      <w:pPr>
        <w:spacing w:after="0" w:line="240" w:lineRule="auto"/>
      </w:pPr>
      <w:r>
        <w:separator/>
      </w:r>
    </w:p>
  </w:footnote>
  <w:footnote w:type="continuationSeparator" w:id="0">
    <w:p w14:paraId="2BE77C80" w14:textId="77777777" w:rsidR="002B3E63" w:rsidRDefault="002B3E63" w:rsidP="0057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4307" w14:textId="77777777" w:rsidR="006D5BBB" w:rsidRDefault="006D5B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3E50" w14:textId="77777777" w:rsidR="0057018B" w:rsidRPr="00556144" w:rsidRDefault="0057018B" w:rsidP="0057018B">
    <w:pPr>
      <w:pStyle w:val="Topptekst"/>
    </w:pPr>
    <w:r>
      <w:rPr>
        <w:noProof/>
        <w:lang w:eastAsia="nb-NO"/>
      </w:rPr>
      <w:drawing>
        <wp:anchor distT="0" distB="0" distL="114300" distR="114300" simplePos="0" relativeHeight="251659264" behindDoc="0" locked="0" layoutInCell="1" allowOverlap="1" wp14:anchorId="57BC6EA9" wp14:editId="72EE1CF0">
          <wp:simplePos x="0" y="0"/>
          <wp:positionH relativeFrom="column">
            <wp:posOffset>4639944</wp:posOffset>
          </wp:positionH>
          <wp:positionV relativeFrom="page">
            <wp:posOffset>476250</wp:posOffset>
          </wp:positionV>
          <wp:extent cx="904875" cy="394058"/>
          <wp:effectExtent l="0" t="0" r="0" b="6350"/>
          <wp:wrapNone/>
          <wp:docPr id="4" name="Bilde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4103" t="15625" r="15945" b="14063"/>
                  <a:stretch/>
                </pic:blipFill>
                <pic:spPr bwMode="auto">
                  <a:xfrm>
                    <a:off x="0" y="0"/>
                    <a:ext cx="930690" cy="40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inline distT="0" distB="0" distL="0" distR="0" wp14:anchorId="33D91155" wp14:editId="297AC452">
          <wp:extent cx="2453640" cy="580939"/>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BA-logo.png"/>
                  <pic:cNvPicPr/>
                </pic:nvPicPr>
                <pic:blipFill rotWithShape="1">
                  <a:blip r:embed="rId2">
                    <a:extLst>
                      <a:ext uri="{28A0092B-C50C-407E-A947-70E740481C1C}">
                        <a14:useLocalDpi xmlns:a14="http://schemas.microsoft.com/office/drawing/2010/main" val="0"/>
                      </a:ext>
                    </a:extLst>
                  </a:blip>
                  <a:srcRect l="1905"/>
                  <a:stretch/>
                </pic:blipFill>
                <pic:spPr bwMode="auto">
                  <a:xfrm>
                    <a:off x="0" y="0"/>
                    <a:ext cx="2554926" cy="604920"/>
                  </a:xfrm>
                  <a:prstGeom prst="rect">
                    <a:avLst/>
                  </a:prstGeom>
                  <a:ln>
                    <a:noFill/>
                  </a:ln>
                  <a:extLst>
                    <a:ext uri="{53640926-AAD7-44D8-BBD7-CCE9431645EC}">
                      <a14:shadowObscured xmlns:a14="http://schemas.microsoft.com/office/drawing/2010/main"/>
                    </a:ext>
                  </a:extLst>
                </pic:spPr>
              </pic:pic>
            </a:graphicData>
          </a:graphic>
        </wp:inline>
      </w:drawing>
    </w:r>
  </w:p>
  <w:p w14:paraId="0A206F3B" w14:textId="77777777" w:rsidR="0057018B" w:rsidRPr="0057018B" w:rsidRDefault="0057018B" w:rsidP="0057018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1B5C" w14:textId="77777777" w:rsidR="006D5BBB" w:rsidRDefault="006D5B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097"/>
    <w:multiLevelType w:val="hybridMultilevel"/>
    <w:tmpl w:val="11AE8BA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1E43BE"/>
    <w:multiLevelType w:val="multilevel"/>
    <w:tmpl w:val="9502E940"/>
    <w:lvl w:ilvl="0">
      <w:start w:val="1"/>
      <w:numFmt w:val="decimal"/>
      <w:pStyle w:val="Nummerertliste"/>
      <w:lvlText w:val="%1"/>
      <w:lvlJc w:val="left"/>
      <w:pPr>
        <w:ind w:left="432" w:hanging="432"/>
      </w:pPr>
      <w:rPr>
        <w:rFonts w:hint="default"/>
      </w:rPr>
    </w:lvl>
    <w:lvl w:ilvl="1">
      <w:start w:val="1"/>
      <w:numFmt w:val="decimal"/>
      <w:pStyle w:val="Nummerertliste1"/>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EF60914"/>
    <w:multiLevelType w:val="hybridMultilevel"/>
    <w:tmpl w:val="F27AFC14"/>
    <w:lvl w:ilvl="0" w:tplc="57D4B61A">
      <w:start w:val="1"/>
      <w:numFmt w:val="decimal"/>
      <w:lvlText w:val="%1."/>
      <w:lvlJc w:val="left"/>
      <w:pPr>
        <w:ind w:left="1020" w:hanging="360"/>
      </w:pPr>
    </w:lvl>
    <w:lvl w:ilvl="1" w:tplc="826865B2">
      <w:start w:val="1"/>
      <w:numFmt w:val="decimal"/>
      <w:lvlText w:val="%2."/>
      <w:lvlJc w:val="left"/>
      <w:pPr>
        <w:ind w:left="1020" w:hanging="360"/>
      </w:pPr>
    </w:lvl>
    <w:lvl w:ilvl="2" w:tplc="DCA67E6E">
      <w:start w:val="1"/>
      <w:numFmt w:val="decimal"/>
      <w:lvlText w:val="%3."/>
      <w:lvlJc w:val="left"/>
      <w:pPr>
        <w:ind w:left="1020" w:hanging="360"/>
      </w:pPr>
    </w:lvl>
    <w:lvl w:ilvl="3" w:tplc="BC267966">
      <w:start w:val="1"/>
      <w:numFmt w:val="decimal"/>
      <w:lvlText w:val="%4."/>
      <w:lvlJc w:val="left"/>
      <w:pPr>
        <w:ind w:left="1020" w:hanging="360"/>
      </w:pPr>
    </w:lvl>
    <w:lvl w:ilvl="4" w:tplc="9A8A2E26">
      <w:start w:val="1"/>
      <w:numFmt w:val="decimal"/>
      <w:lvlText w:val="%5."/>
      <w:lvlJc w:val="left"/>
      <w:pPr>
        <w:ind w:left="1020" w:hanging="360"/>
      </w:pPr>
    </w:lvl>
    <w:lvl w:ilvl="5" w:tplc="F000B406">
      <w:start w:val="1"/>
      <w:numFmt w:val="decimal"/>
      <w:lvlText w:val="%6."/>
      <w:lvlJc w:val="left"/>
      <w:pPr>
        <w:ind w:left="1020" w:hanging="360"/>
      </w:pPr>
    </w:lvl>
    <w:lvl w:ilvl="6" w:tplc="D4C06096">
      <w:start w:val="1"/>
      <w:numFmt w:val="decimal"/>
      <w:lvlText w:val="%7."/>
      <w:lvlJc w:val="left"/>
      <w:pPr>
        <w:ind w:left="1020" w:hanging="360"/>
      </w:pPr>
    </w:lvl>
    <w:lvl w:ilvl="7" w:tplc="B50E8E46">
      <w:start w:val="1"/>
      <w:numFmt w:val="decimal"/>
      <w:lvlText w:val="%8."/>
      <w:lvlJc w:val="left"/>
      <w:pPr>
        <w:ind w:left="1020" w:hanging="360"/>
      </w:pPr>
    </w:lvl>
    <w:lvl w:ilvl="8" w:tplc="87625136">
      <w:start w:val="1"/>
      <w:numFmt w:val="decimal"/>
      <w:lvlText w:val="%9."/>
      <w:lvlJc w:val="left"/>
      <w:pPr>
        <w:ind w:left="1020" w:hanging="360"/>
      </w:pPr>
    </w:lvl>
  </w:abstractNum>
  <w:abstractNum w:abstractNumId="3" w15:restartNumberingAfterBreak="0">
    <w:nsid w:val="51254C46"/>
    <w:multiLevelType w:val="hybridMultilevel"/>
    <w:tmpl w:val="CA2A6852"/>
    <w:lvl w:ilvl="0" w:tplc="AAB42EEA">
      <w:start w:val="1"/>
      <w:numFmt w:val="decimal"/>
      <w:lvlText w:val="%1."/>
      <w:lvlJc w:val="left"/>
      <w:pPr>
        <w:ind w:left="1020" w:hanging="360"/>
      </w:pPr>
    </w:lvl>
    <w:lvl w:ilvl="1" w:tplc="50E849DE">
      <w:start w:val="1"/>
      <w:numFmt w:val="decimal"/>
      <w:lvlText w:val="%2."/>
      <w:lvlJc w:val="left"/>
      <w:pPr>
        <w:ind w:left="1020" w:hanging="360"/>
      </w:pPr>
    </w:lvl>
    <w:lvl w:ilvl="2" w:tplc="58A8987E">
      <w:start w:val="1"/>
      <w:numFmt w:val="decimal"/>
      <w:lvlText w:val="%3."/>
      <w:lvlJc w:val="left"/>
      <w:pPr>
        <w:ind w:left="1020" w:hanging="360"/>
      </w:pPr>
    </w:lvl>
    <w:lvl w:ilvl="3" w:tplc="A88A3AF2">
      <w:start w:val="1"/>
      <w:numFmt w:val="decimal"/>
      <w:lvlText w:val="%4."/>
      <w:lvlJc w:val="left"/>
      <w:pPr>
        <w:ind w:left="1020" w:hanging="360"/>
      </w:pPr>
    </w:lvl>
    <w:lvl w:ilvl="4" w:tplc="DA5CAA2A">
      <w:start w:val="1"/>
      <w:numFmt w:val="decimal"/>
      <w:lvlText w:val="%5."/>
      <w:lvlJc w:val="left"/>
      <w:pPr>
        <w:ind w:left="1020" w:hanging="360"/>
      </w:pPr>
    </w:lvl>
    <w:lvl w:ilvl="5" w:tplc="85F0D812">
      <w:start w:val="1"/>
      <w:numFmt w:val="decimal"/>
      <w:lvlText w:val="%6."/>
      <w:lvlJc w:val="left"/>
      <w:pPr>
        <w:ind w:left="1020" w:hanging="360"/>
      </w:pPr>
    </w:lvl>
    <w:lvl w:ilvl="6" w:tplc="E0105A84">
      <w:start w:val="1"/>
      <w:numFmt w:val="decimal"/>
      <w:lvlText w:val="%7."/>
      <w:lvlJc w:val="left"/>
      <w:pPr>
        <w:ind w:left="1020" w:hanging="360"/>
      </w:pPr>
    </w:lvl>
    <w:lvl w:ilvl="7" w:tplc="100E4F3A">
      <w:start w:val="1"/>
      <w:numFmt w:val="decimal"/>
      <w:lvlText w:val="%8."/>
      <w:lvlJc w:val="left"/>
      <w:pPr>
        <w:ind w:left="1020" w:hanging="360"/>
      </w:pPr>
    </w:lvl>
    <w:lvl w:ilvl="8" w:tplc="FA30BA9E">
      <w:start w:val="1"/>
      <w:numFmt w:val="decimal"/>
      <w:lvlText w:val="%9."/>
      <w:lvlJc w:val="left"/>
      <w:pPr>
        <w:ind w:left="1020" w:hanging="360"/>
      </w:pPr>
    </w:lvl>
  </w:abstractNum>
  <w:abstractNum w:abstractNumId="4" w15:restartNumberingAfterBreak="0">
    <w:nsid w:val="514A5582"/>
    <w:multiLevelType w:val="hybridMultilevel"/>
    <w:tmpl w:val="339C51DA"/>
    <w:lvl w:ilvl="0" w:tplc="742C1A70">
      <w:start w:val="1"/>
      <w:numFmt w:val="decimal"/>
      <w:lvlText w:val="%1."/>
      <w:lvlJc w:val="left"/>
      <w:pPr>
        <w:ind w:left="1020" w:hanging="360"/>
      </w:pPr>
    </w:lvl>
    <w:lvl w:ilvl="1" w:tplc="BA085704">
      <w:start w:val="1"/>
      <w:numFmt w:val="decimal"/>
      <w:lvlText w:val="%2."/>
      <w:lvlJc w:val="left"/>
      <w:pPr>
        <w:ind w:left="1020" w:hanging="360"/>
      </w:pPr>
    </w:lvl>
    <w:lvl w:ilvl="2" w:tplc="B458491C">
      <w:start w:val="1"/>
      <w:numFmt w:val="decimal"/>
      <w:lvlText w:val="%3."/>
      <w:lvlJc w:val="left"/>
      <w:pPr>
        <w:ind w:left="1020" w:hanging="360"/>
      </w:pPr>
    </w:lvl>
    <w:lvl w:ilvl="3" w:tplc="41FCD3D0">
      <w:start w:val="1"/>
      <w:numFmt w:val="decimal"/>
      <w:lvlText w:val="%4."/>
      <w:lvlJc w:val="left"/>
      <w:pPr>
        <w:ind w:left="1020" w:hanging="360"/>
      </w:pPr>
    </w:lvl>
    <w:lvl w:ilvl="4" w:tplc="73A85B20">
      <w:start w:val="1"/>
      <w:numFmt w:val="decimal"/>
      <w:lvlText w:val="%5."/>
      <w:lvlJc w:val="left"/>
      <w:pPr>
        <w:ind w:left="1020" w:hanging="360"/>
      </w:pPr>
    </w:lvl>
    <w:lvl w:ilvl="5" w:tplc="543A8826">
      <w:start w:val="1"/>
      <w:numFmt w:val="decimal"/>
      <w:lvlText w:val="%6."/>
      <w:lvlJc w:val="left"/>
      <w:pPr>
        <w:ind w:left="1020" w:hanging="360"/>
      </w:pPr>
    </w:lvl>
    <w:lvl w:ilvl="6" w:tplc="9B94FB46">
      <w:start w:val="1"/>
      <w:numFmt w:val="decimal"/>
      <w:lvlText w:val="%7."/>
      <w:lvlJc w:val="left"/>
      <w:pPr>
        <w:ind w:left="1020" w:hanging="360"/>
      </w:pPr>
    </w:lvl>
    <w:lvl w:ilvl="7" w:tplc="4B8001BA">
      <w:start w:val="1"/>
      <w:numFmt w:val="decimal"/>
      <w:lvlText w:val="%8."/>
      <w:lvlJc w:val="left"/>
      <w:pPr>
        <w:ind w:left="1020" w:hanging="360"/>
      </w:pPr>
    </w:lvl>
    <w:lvl w:ilvl="8" w:tplc="7E060DB2">
      <w:start w:val="1"/>
      <w:numFmt w:val="decimal"/>
      <w:lvlText w:val="%9."/>
      <w:lvlJc w:val="left"/>
      <w:pPr>
        <w:ind w:left="1020" w:hanging="360"/>
      </w:pPr>
    </w:lvl>
  </w:abstractNum>
  <w:abstractNum w:abstractNumId="5" w15:restartNumberingAfterBreak="0">
    <w:nsid w:val="67BA20D5"/>
    <w:multiLevelType w:val="hybridMultilevel"/>
    <w:tmpl w:val="8940F1A6"/>
    <w:lvl w:ilvl="0" w:tplc="053E58FE">
      <w:start w:val="1"/>
      <w:numFmt w:val="decimal"/>
      <w:lvlText w:val="%1."/>
      <w:lvlJc w:val="left"/>
      <w:pPr>
        <w:ind w:left="1020" w:hanging="360"/>
      </w:pPr>
    </w:lvl>
    <w:lvl w:ilvl="1" w:tplc="A2B8DBDC">
      <w:start w:val="1"/>
      <w:numFmt w:val="decimal"/>
      <w:lvlText w:val="%2."/>
      <w:lvlJc w:val="left"/>
      <w:pPr>
        <w:ind w:left="1020" w:hanging="360"/>
      </w:pPr>
    </w:lvl>
    <w:lvl w:ilvl="2" w:tplc="25A0DB70">
      <w:start w:val="1"/>
      <w:numFmt w:val="decimal"/>
      <w:lvlText w:val="%3."/>
      <w:lvlJc w:val="left"/>
      <w:pPr>
        <w:ind w:left="1020" w:hanging="360"/>
      </w:pPr>
    </w:lvl>
    <w:lvl w:ilvl="3" w:tplc="FD3220E0">
      <w:start w:val="1"/>
      <w:numFmt w:val="decimal"/>
      <w:lvlText w:val="%4."/>
      <w:lvlJc w:val="left"/>
      <w:pPr>
        <w:ind w:left="1020" w:hanging="360"/>
      </w:pPr>
    </w:lvl>
    <w:lvl w:ilvl="4" w:tplc="94528FA0">
      <w:start w:val="1"/>
      <w:numFmt w:val="decimal"/>
      <w:lvlText w:val="%5."/>
      <w:lvlJc w:val="left"/>
      <w:pPr>
        <w:ind w:left="1020" w:hanging="360"/>
      </w:pPr>
    </w:lvl>
    <w:lvl w:ilvl="5" w:tplc="589E3A7C">
      <w:start w:val="1"/>
      <w:numFmt w:val="decimal"/>
      <w:lvlText w:val="%6."/>
      <w:lvlJc w:val="left"/>
      <w:pPr>
        <w:ind w:left="1020" w:hanging="360"/>
      </w:pPr>
    </w:lvl>
    <w:lvl w:ilvl="6" w:tplc="18889C4A">
      <w:start w:val="1"/>
      <w:numFmt w:val="decimal"/>
      <w:lvlText w:val="%7."/>
      <w:lvlJc w:val="left"/>
      <w:pPr>
        <w:ind w:left="1020" w:hanging="360"/>
      </w:pPr>
    </w:lvl>
    <w:lvl w:ilvl="7" w:tplc="4D0069DA">
      <w:start w:val="1"/>
      <w:numFmt w:val="decimal"/>
      <w:lvlText w:val="%8."/>
      <w:lvlJc w:val="left"/>
      <w:pPr>
        <w:ind w:left="1020" w:hanging="360"/>
      </w:pPr>
    </w:lvl>
    <w:lvl w:ilvl="8" w:tplc="61660552">
      <w:start w:val="1"/>
      <w:numFmt w:val="decimal"/>
      <w:lvlText w:val="%9."/>
      <w:lvlJc w:val="left"/>
      <w:pPr>
        <w:ind w:left="1020" w:hanging="360"/>
      </w:pPr>
    </w:lvl>
  </w:abstractNum>
  <w:abstractNum w:abstractNumId="6" w15:restartNumberingAfterBreak="0">
    <w:nsid w:val="77FB1F7D"/>
    <w:multiLevelType w:val="hybridMultilevel"/>
    <w:tmpl w:val="8D603D94"/>
    <w:lvl w:ilvl="0" w:tplc="E2AA4A4C">
      <w:start w:val="1"/>
      <w:numFmt w:val="decimal"/>
      <w:lvlText w:val="%1."/>
      <w:lvlJc w:val="left"/>
      <w:pPr>
        <w:ind w:left="1020" w:hanging="360"/>
      </w:pPr>
    </w:lvl>
    <w:lvl w:ilvl="1" w:tplc="CF8E0FB8">
      <w:start w:val="1"/>
      <w:numFmt w:val="decimal"/>
      <w:lvlText w:val="%2."/>
      <w:lvlJc w:val="left"/>
      <w:pPr>
        <w:ind w:left="1020" w:hanging="360"/>
      </w:pPr>
    </w:lvl>
    <w:lvl w:ilvl="2" w:tplc="431AC49C">
      <w:start w:val="1"/>
      <w:numFmt w:val="decimal"/>
      <w:lvlText w:val="%3."/>
      <w:lvlJc w:val="left"/>
      <w:pPr>
        <w:ind w:left="1020" w:hanging="360"/>
      </w:pPr>
    </w:lvl>
    <w:lvl w:ilvl="3" w:tplc="3E3CE2FC">
      <w:start w:val="1"/>
      <w:numFmt w:val="decimal"/>
      <w:lvlText w:val="%4."/>
      <w:lvlJc w:val="left"/>
      <w:pPr>
        <w:ind w:left="1020" w:hanging="360"/>
      </w:pPr>
    </w:lvl>
    <w:lvl w:ilvl="4" w:tplc="965A6D44">
      <w:start w:val="1"/>
      <w:numFmt w:val="decimal"/>
      <w:lvlText w:val="%5."/>
      <w:lvlJc w:val="left"/>
      <w:pPr>
        <w:ind w:left="1020" w:hanging="360"/>
      </w:pPr>
    </w:lvl>
    <w:lvl w:ilvl="5" w:tplc="2DEC42E2">
      <w:start w:val="1"/>
      <w:numFmt w:val="decimal"/>
      <w:lvlText w:val="%6."/>
      <w:lvlJc w:val="left"/>
      <w:pPr>
        <w:ind w:left="1020" w:hanging="360"/>
      </w:pPr>
    </w:lvl>
    <w:lvl w:ilvl="6" w:tplc="34B21DCC">
      <w:start w:val="1"/>
      <w:numFmt w:val="decimal"/>
      <w:lvlText w:val="%7."/>
      <w:lvlJc w:val="left"/>
      <w:pPr>
        <w:ind w:left="1020" w:hanging="360"/>
      </w:pPr>
    </w:lvl>
    <w:lvl w:ilvl="7" w:tplc="8EAA8A54">
      <w:start w:val="1"/>
      <w:numFmt w:val="decimal"/>
      <w:lvlText w:val="%8."/>
      <w:lvlJc w:val="left"/>
      <w:pPr>
        <w:ind w:left="1020" w:hanging="360"/>
      </w:pPr>
    </w:lvl>
    <w:lvl w:ilvl="8" w:tplc="4FEC8448">
      <w:start w:val="1"/>
      <w:numFmt w:val="decimal"/>
      <w:lvlText w:val="%9."/>
      <w:lvlJc w:val="left"/>
      <w:pPr>
        <w:ind w:left="1020" w:hanging="360"/>
      </w:pPr>
    </w:lvl>
  </w:abstractNum>
  <w:num w:numId="1" w16cid:durableId="1491751333">
    <w:abstractNumId w:val="1"/>
  </w:num>
  <w:num w:numId="2" w16cid:durableId="408383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473290">
    <w:abstractNumId w:val="2"/>
  </w:num>
  <w:num w:numId="4" w16cid:durableId="277296515">
    <w:abstractNumId w:val="6"/>
  </w:num>
  <w:num w:numId="5" w16cid:durableId="765810320">
    <w:abstractNumId w:val="5"/>
  </w:num>
  <w:num w:numId="6" w16cid:durableId="1557623817">
    <w:abstractNumId w:val="4"/>
  </w:num>
  <w:num w:numId="7" w16cid:durableId="2096784736">
    <w:abstractNumId w:val="3"/>
  </w:num>
  <w:num w:numId="8" w16cid:durableId="181872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8B"/>
    <w:rsid w:val="00003C84"/>
    <w:rsid w:val="000151D9"/>
    <w:rsid w:val="00015E71"/>
    <w:rsid w:val="000326FF"/>
    <w:rsid w:val="00035830"/>
    <w:rsid w:val="00043269"/>
    <w:rsid w:val="00053B72"/>
    <w:rsid w:val="00056E11"/>
    <w:rsid w:val="000775C8"/>
    <w:rsid w:val="0007767F"/>
    <w:rsid w:val="000936BB"/>
    <w:rsid w:val="000B5CD2"/>
    <w:rsid w:val="000B6C4A"/>
    <w:rsid w:val="000D0C0F"/>
    <w:rsid w:val="000D0E0E"/>
    <w:rsid w:val="000D12C0"/>
    <w:rsid w:val="000E6546"/>
    <w:rsid w:val="000F68FD"/>
    <w:rsid w:val="000F6B3A"/>
    <w:rsid w:val="00101F03"/>
    <w:rsid w:val="00121C77"/>
    <w:rsid w:val="001455D2"/>
    <w:rsid w:val="001474E6"/>
    <w:rsid w:val="00151CC0"/>
    <w:rsid w:val="001623B6"/>
    <w:rsid w:val="0016615F"/>
    <w:rsid w:val="00192110"/>
    <w:rsid w:val="001966B5"/>
    <w:rsid w:val="00196DF9"/>
    <w:rsid w:val="001A10BD"/>
    <w:rsid w:val="001A52AC"/>
    <w:rsid w:val="001B2F39"/>
    <w:rsid w:val="001B4621"/>
    <w:rsid w:val="001B4F0E"/>
    <w:rsid w:val="001C7265"/>
    <w:rsid w:val="001D0723"/>
    <w:rsid w:val="001D70F0"/>
    <w:rsid w:val="001E421A"/>
    <w:rsid w:val="001F2B26"/>
    <w:rsid w:val="002057C0"/>
    <w:rsid w:val="002063A1"/>
    <w:rsid w:val="00224EBD"/>
    <w:rsid w:val="00234537"/>
    <w:rsid w:val="00241166"/>
    <w:rsid w:val="002474B4"/>
    <w:rsid w:val="002477A8"/>
    <w:rsid w:val="00247E28"/>
    <w:rsid w:val="002533AE"/>
    <w:rsid w:val="00261F81"/>
    <w:rsid w:val="00280842"/>
    <w:rsid w:val="002874BF"/>
    <w:rsid w:val="002878CA"/>
    <w:rsid w:val="0029265D"/>
    <w:rsid w:val="00296498"/>
    <w:rsid w:val="002A12FE"/>
    <w:rsid w:val="002A56C1"/>
    <w:rsid w:val="002A70CC"/>
    <w:rsid w:val="002A749E"/>
    <w:rsid w:val="002B18BB"/>
    <w:rsid w:val="002B2F2D"/>
    <w:rsid w:val="002B3E63"/>
    <w:rsid w:val="002B52C9"/>
    <w:rsid w:val="002D6B9D"/>
    <w:rsid w:val="002E11C6"/>
    <w:rsid w:val="00302D01"/>
    <w:rsid w:val="003179B0"/>
    <w:rsid w:val="00321F14"/>
    <w:rsid w:val="003303E5"/>
    <w:rsid w:val="00333984"/>
    <w:rsid w:val="00337177"/>
    <w:rsid w:val="00346889"/>
    <w:rsid w:val="00350079"/>
    <w:rsid w:val="00353837"/>
    <w:rsid w:val="00357D17"/>
    <w:rsid w:val="00360488"/>
    <w:rsid w:val="00361171"/>
    <w:rsid w:val="0038110F"/>
    <w:rsid w:val="00390313"/>
    <w:rsid w:val="003A57C0"/>
    <w:rsid w:val="003C011A"/>
    <w:rsid w:val="003C3801"/>
    <w:rsid w:val="003C6ED3"/>
    <w:rsid w:val="003C70A3"/>
    <w:rsid w:val="003E693F"/>
    <w:rsid w:val="003F03CD"/>
    <w:rsid w:val="003F64DA"/>
    <w:rsid w:val="003F6B1B"/>
    <w:rsid w:val="004031DF"/>
    <w:rsid w:val="004069F9"/>
    <w:rsid w:val="0042337D"/>
    <w:rsid w:val="004368D6"/>
    <w:rsid w:val="004407E7"/>
    <w:rsid w:val="004512F0"/>
    <w:rsid w:val="0046029B"/>
    <w:rsid w:val="0046286A"/>
    <w:rsid w:val="00480544"/>
    <w:rsid w:val="00480E9A"/>
    <w:rsid w:val="00483F7B"/>
    <w:rsid w:val="00493986"/>
    <w:rsid w:val="004A1ECD"/>
    <w:rsid w:val="004A2937"/>
    <w:rsid w:val="004C3720"/>
    <w:rsid w:val="004E4F8B"/>
    <w:rsid w:val="004E70D2"/>
    <w:rsid w:val="004F2E35"/>
    <w:rsid w:val="005079B6"/>
    <w:rsid w:val="00514B74"/>
    <w:rsid w:val="005338F2"/>
    <w:rsid w:val="0053528A"/>
    <w:rsid w:val="005458DB"/>
    <w:rsid w:val="005520C8"/>
    <w:rsid w:val="00565025"/>
    <w:rsid w:val="0057018B"/>
    <w:rsid w:val="00574A1A"/>
    <w:rsid w:val="00576D8D"/>
    <w:rsid w:val="005772D8"/>
    <w:rsid w:val="005822C1"/>
    <w:rsid w:val="005830E1"/>
    <w:rsid w:val="005945DC"/>
    <w:rsid w:val="005A5FA8"/>
    <w:rsid w:val="005A7EE1"/>
    <w:rsid w:val="005B31D4"/>
    <w:rsid w:val="005D002E"/>
    <w:rsid w:val="005D748B"/>
    <w:rsid w:val="005F2097"/>
    <w:rsid w:val="005F541E"/>
    <w:rsid w:val="006161A9"/>
    <w:rsid w:val="00633810"/>
    <w:rsid w:val="00634406"/>
    <w:rsid w:val="00634F32"/>
    <w:rsid w:val="00641710"/>
    <w:rsid w:val="006470A1"/>
    <w:rsid w:val="006633F9"/>
    <w:rsid w:val="0069140B"/>
    <w:rsid w:val="006A2ACD"/>
    <w:rsid w:val="006B12CA"/>
    <w:rsid w:val="006B63A0"/>
    <w:rsid w:val="006C41D2"/>
    <w:rsid w:val="006D5BBB"/>
    <w:rsid w:val="006E162C"/>
    <w:rsid w:val="006F7BBC"/>
    <w:rsid w:val="00700677"/>
    <w:rsid w:val="00700EBA"/>
    <w:rsid w:val="007022D8"/>
    <w:rsid w:val="00704C0E"/>
    <w:rsid w:val="007333E3"/>
    <w:rsid w:val="007407AE"/>
    <w:rsid w:val="0075597E"/>
    <w:rsid w:val="00782148"/>
    <w:rsid w:val="007832B7"/>
    <w:rsid w:val="007870A0"/>
    <w:rsid w:val="007A3A8B"/>
    <w:rsid w:val="007A69B6"/>
    <w:rsid w:val="007B7622"/>
    <w:rsid w:val="007C32CD"/>
    <w:rsid w:val="007E4AB4"/>
    <w:rsid w:val="007E67EA"/>
    <w:rsid w:val="007E6CB9"/>
    <w:rsid w:val="008538A9"/>
    <w:rsid w:val="00857F27"/>
    <w:rsid w:val="00862273"/>
    <w:rsid w:val="008653BC"/>
    <w:rsid w:val="00866ACB"/>
    <w:rsid w:val="00871B4D"/>
    <w:rsid w:val="0087293F"/>
    <w:rsid w:val="00873F72"/>
    <w:rsid w:val="0087508B"/>
    <w:rsid w:val="00876188"/>
    <w:rsid w:val="00893474"/>
    <w:rsid w:val="008965CF"/>
    <w:rsid w:val="008A13F5"/>
    <w:rsid w:val="008B09BF"/>
    <w:rsid w:val="008D1236"/>
    <w:rsid w:val="008D44C0"/>
    <w:rsid w:val="008E1CCB"/>
    <w:rsid w:val="008F793F"/>
    <w:rsid w:val="00901FED"/>
    <w:rsid w:val="009069C2"/>
    <w:rsid w:val="00910367"/>
    <w:rsid w:val="00911E79"/>
    <w:rsid w:val="009162FB"/>
    <w:rsid w:val="00924B3C"/>
    <w:rsid w:val="00930342"/>
    <w:rsid w:val="00930550"/>
    <w:rsid w:val="00935D13"/>
    <w:rsid w:val="00941EE4"/>
    <w:rsid w:val="00951985"/>
    <w:rsid w:val="00955B0D"/>
    <w:rsid w:val="00965735"/>
    <w:rsid w:val="00972D87"/>
    <w:rsid w:val="009754DA"/>
    <w:rsid w:val="00977584"/>
    <w:rsid w:val="009A7698"/>
    <w:rsid w:val="009C6BC2"/>
    <w:rsid w:val="009C782F"/>
    <w:rsid w:val="009E4A17"/>
    <w:rsid w:val="009E719B"/>
    <w:rsid w:val="00A006B3"/>
    <w:rsid w:val="00A12C17"/>
    <w:rsid w:val="00A26D72"/>
    <w:rsid w:val="00A37ECE"/>
    <w:rsid w:val="00A41780"/>
    <w:rsid w:val="00A447E4"/>
    <w:rsid w:val="00A44F0D"/>
    <w:rsid w:val="00A4770A"/>
    <w:rsid w:val="00A62CCF"/>
    <w:rsid w:val="00A75D8F"/>
    <w:rsid w:val="00A81ACA"/>
    <w:rsid w:val="00A8412B"/>
    <w:rsid w:val="00A93D95"/>
    <w:rsid w:val="00AA2144"/>
    <w:rsid w:val="00AA21D7"/>
    <w:rsid w:val="00AC210F"/>
    <w:rsid w:val="00AE2FBB"/>
    <w:rsid w:val="00B11B6B"/>
    <w:rsid w:val="00B154DB"/>
    <w:rsid w:val="00B212AA"/>
    <w:rsid w:val="00B214F9"/>
    <w:rsid w:val="00B43A95"/>
    <w:rsid w:val="00B4485D"/>
    <w:rsid w:val="00B46867"/>
    <w:rsid w:val="00B568D5"/>
    <w:rsid w:val="00B60B5F"/>
    <w:rsid w:val="00B65C74"/>
    <w:rsid w:val="00B77DF6"/>
    <w:rsid w:val="00B82B0E"/>
    <w:rsid w:val="00B90A28"/>
    <w:rsid w:val="00B94C36"/>
    <w:rsid w:val="00B97EDA"/>
    <w:rsid w:val="00BA366D"/>
    <w:rsid w:val="00BC2E73"/>
    <w:rsid w:val="00BC5F2C"/>
    <w:rsid w:val="00BC619E"/>
    <w:rsid w:val="00BC6CD9"/>
    <w:rsid w:val="00BD3477"/>
    <w:rsid w:val="00BD3F69"/>
    <w:rsid w:val="00BD4BAE"/>
    <w:rsid w:val="00BF3D1D"/>
    <w:rsid w:val="00C02EE4"/>
    <w:rsid w:val="00C0397B"/>
    <w:rsid w:val="00C05C56"/>
    <w:rsid w:val="00C0644E"/>
    <w:rsid w:val="00C12E5E"/>
    <w:rsid w:val="00C13681"/>
    <w:rsid w:val="00C1699C"/>
    <w:rsid w:val="00C36A4B"/>
    <w:rsid w:val="00C42BCA"/>
    <w:rsid w:val="00C43B36"/>
    <w:rsid w:val="00C446BF"/>
    <w:rsid w:val="00C619C9"/>
    <w:rsid w:val="00C748EE"/>
    <w:rsid w:val="00C75670"/>
    <w:rsid w:val="00C76F7B"/>
    <w:rsid w:val="00C96465"/>
    <w:rsid w:val="00CA123C"/>
    <w:rsid w:val="00CA3F8E"/>
    <w:rsid w:val="00CA5E47"/>
    <w:rsid w:val="00CA5EF0"/>
    <w:rsid w:val="00CB5F05"/>
    <w:rsid w:val="00CC0D32"/>
    <w:rsid w:val="00CC7664"/>
    <w:rsid w:val="00CF74B4"/>
    <w:rsid w:val="00D00546"/>
    <w:rsid w:val="00D02FA5"/>
    <w:rsid w:val="00D03CCF"/>
    <w:rsid w:val="00D22DA1"/>
    <w:rsid w:val="00D323FC"/>
    <w:rsid w:val="00D438C0"/>
    <w:rsid w:val="00D441F4"/>
    <w:rsid w:val="00D550BF"/>
    <w:rsid w:val="00D5638C"/>
    <w:rsid w:val="00D61F54"/>
    <w:rsid w:val="00D6222A"/>
    <w:rsid w:val="00D64561"/>
    <w:rsid w:val="00D84846"/>
    <w:rsid w:val="00D9311D"/>
    <w:rsid w:val="00DA7409"/>
    <w:rsid w:val="00DC728C"/>
    <w:rsid w:val="00DD0CC3"/>
    <w:rsid w:val="00DD2070"/>
    <w:rsid w:val="00DF194C"/>
    <w:rsid w:val="00DF57D2"/>
    <w:rsid w:val="00DF57E7"/>
    <w:rsid w:val="00DF5ACF"/>
    <w:rsid w:val="00DF6117"/>
    <w:rsid w:val="00E0246F"/>
    <w:rsid w:val="00E02EEF"/>
    <w:rsid w:val="00E05FDC"/>
    <w:rsid w:val="00E136BF"/>
    <w:rsid w:val="00E162D0"/>
    <w:rsid w:val="00E214E0"/>
    <w:rsid w:val="00E24C1D"/>
    <w:rsid w:val="00E26F41"/>
    <w:rsid w:val="00E34A1E"/>
    <w:rsid w:val="00E566DE"/>
    <w:rsid w:val="00E56EE3"/>
    <w:rsid w:val="00E57411"/>
    <w:rsid w:val="00E622A4"/>
    <w:rsid w:val="00E77C1F"/>
    <w:rsid w:val="00EB1F61"/>
    <w:rsid w:val="00EB6114"/>
    <w:rsid w:val="00EB6A60"/>
    <w:rsid w:val="00EB706C"/>
    <w:rsid w:val="00ED21EF"/>
    <w:rsid w:val="00F23849"/>
    <w:rsid w:val="00F33252"/>
    <w:rsid w:val="00F43D88"/>
    <w:rsid w:val="00F47175"/>
    <w:rsid w:val="00F5284E"/>
    <w:rsid w:val="00F53B85"/>
    <w:rsid w:val="00F549DC"/>
    <w:rsid w:val="00F6521E"/>
    <w:rsid w:val="00F66C25"/>
    <w:rsid w:val="00F950D0"/>
    <w:rsid w:val="00F95E43"/>
    <w:rsid w:val="00FA3737"/>
    <w:rsid w:val="00FA41E2"/>
    <w:rsid w:val="00FB15F8"/>
    <w:rsid w:val="00FB673E"/>
    <w:rsid w:val="00FC2B08"/>
    <w:rsid w:val="00FC793E"/>
    <w:rsid w:val="00FC7C9D"/>
    <w:rsid w:val="00FD3608"/>
    <w:rsid w:val="00FD593E"/>
    <w:rsid w:val="00FF1054"/>
    <w:rsid w:val="00FF3C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E0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0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0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018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018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018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01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01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01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018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1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701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7018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7018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7018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7018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7018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7018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7018B"/>
    <w:rPr>
      <w:rFonts w:eastAsiaTheme="majorEastAsia" w:cstheme="majorBidi"/>
      <w:color w:val="272727" w:themeColor="text1" w:themeTint="D8"/>
    </w:rPr>
  </w:style>
  <w:style w:type="paragraph" w:styleId="Tittel">
    <w:name w:val="Title"/>
    <w:basedOn w:val="Normal"/>
    <w:next w:val="Normal"/>
    <w:link w:val="TittelTegn"/>
    <w:uiPriority w:val="10"/>
    <w:qFormat/>
    <w:rsid w:val="00570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7018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7018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7018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7018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7018B"/>
    <w:rPr>
      <w:i/>
      <w:iCs/>
      <w:color w:val="404040" w:themeColor="text1" w:themeTint="BF"/>
    </w:rPr>
  </w:style>
  <w:style w:type="paragraph" w:styleId="Listeavsnitt">
    <w:name w:val="List Paragraph"/>
    <w:basedOn w:val="Normal"/>
    <w:uiPriority w:val="34"/>
    <w:qFormat/>
    <w:rsid w:val="0057018B"/>
    <w:pPr>
      <w:ind w:left="720"/>
      <w:contextualSpacing/>
    </w:pPr>
  </w:style>
  <w:style w:type="character" w:styleId="Sterkutheving">
    <w:name w:val="Intense Emphasis"/>
    <w:basedOn w:val="Standardskriftforavsnitt"/>
    <w:uiPriority w:val="21"/>
    <w:qFormat/>
    <w:rsid w:val="0057018B"/>
    <w:rPr>
      <w:i/>
      <w:iCs/>
      <w:color w:val="0F4761" w:themeColor="accent1" w:themeShade="BF"/>
    </w:rPr>
  </w:style>
  <w:style w:type="paragraph" w:styleId="Sterktsitat">
    <w:name w:val="Intense Quote"/>
    <w:basedOn w:val="Normal"/>
    <w:next w:val="Normal"/>
    <w:link w:val="SterktsitatTegn"/>
    <w:uiPriority w:val="30"/>
    <w:qFormat/>
    <w:rsid w:val="00570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7018B"/>
    <w:rPr>
      <w:i/>
      <w:iCs/>
      <w:color w:val="0F4761" w:themeColor="accent1" w:themeShade="BF"/>
    </w:rPr>
  </w:style>
  <w:style w:type="character" w:styleId="Sterkreferanse">
    <w:name w:val="Intense Reference"/>
    <w:basedOn w:val="Standardskriftforavsnitt"/>
    <w:uiPriority w:val="32"/>
    <w:qFormat/>
    <w:rsid w:val="0057018B"/>
    <w:rPr>
      <w:b/>
      <w:bCs/>
      <w:smallCaps/>
      <w:color w:val="0F4761" w:themeColor="accent1" w:themeShade="BF"/>
      <w:spacing w:val="5"/>
    </w:rPr>
  </w:style>
  <w:style w:type="paragraph" w:styleId="Topptekst">
    <w:name w:val="header"/>
    <w:basedOn w:val="Normal"/>
    <w:link w:val="TopptekstTegn"/>
    <w:uiPriority w:val="94"/>
    <w:unhideWhenUsed/>
    <w:rsid w:val="0057018B"/>
    <w:pPr>
      <w:tabs>
        <w:tab w:val="center" w:pos="4536"/>
        <w:tab w:val="right" w:pos="9072"/>
      </w:tabs>
      <w:spacing w:after="0" w:line="240" w:lineRule="auto"/>
    </w:pPr>
  </w:style>
  <w:style w:type="character" w:customStyle="1" w:styleId="TopptekstTegn">
    <w:name w:val="Topptekst Tegn"/>
    <w:basedOn w:val="Standardskriftforavsnitt"/>
    <w:link w:val="Topptekst"/>
    <w:uiPriority w:val="94"/>
    <w:rsid w:val="0057018B"/>
  </w:style>
  <w:style w:type="paragraph" w:styleId="Bunntekst">
    <w:name w:val="footer"/>
    <w:basedOn w:val="Normal"/>
    <w:link w:val="BunntekstTegn"/>
    <w:uiPriority w:val="99"/>
    <w:unhideWhenUsed/>
    <w:rsid w:val="005701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018B"/>
  </w:style>
  <w:style w:type="paragraph" w:customStyle="1" w:styleId="Nummerertliste1">
    <w:name w:val="Nummerert liste1"/>
    <w:basedOn w:val="Overskrift2"/>
    <w:next w:val="Nummerertliste"/>
    <w:uiPriority w:val="9"/>
    <w:qFormat/>
    <w:rsid w:val="0057018B"/>
    <w:pPr>
      <w:numPr>
        <w:ilvl w:val="1"/>
        <w:numId w:val="1"/>
      </w:numPr>
      <w:pBdr>
        <w:top w:val="single" w:sz="18" w:space="1" w:color="DBE6E8"/>
        <w:bottom w:val="single" w:sz="18" w:space="1" w:color="DBE6E8"/>
      </w:pBdr>
      <w:shd w:val="clear" w:color="auto" w:fill="DBE6E8"/>
      <w:tabs>
        <w:tab w:val="num" w:pos="360"/>
      </w:tabs>
      <w:suppressAutoHyphens/>
      <w:spacing w:before="360" w:after="60" w:line="240" w:lineRule="atLeast"/>
      <w:ind w:left="0" w:firstLine="0"/>
      <w:contextualSpacing/>
    </w:pPr>
    <w:rPr>
      <w:rFonts w:ascii="Palatino Linotype" w:hAnsi="Palatino Linotype"/>
      <w:b/>
      <w:bCs/>
      <w:color w:val="auto"/>
      <w:kern w:val="0"/>
      <w:sz w:val="20"/>
      <w:szCs w:val="26"/>
      <w14:ligatures w14:val="none"/>
    </w:rPr>
  </w:style>
  <w:style w:type="character" w:styleId="Merknadsreferanse">
    <w:name w:val="annotation reference"/>
    <w:basedOn w:val="Standardskriftforavsnitt"/>
    <w:uiPriority w:val="99"/>
    <w:semiHidden/>
    <w:rsid w:val="0057018B"/>
    <w:rPr>
      <w:sz w:val="16"/>
      <w:szCs w:val="16"/>
      <w:lang w:val="nb-NO"/>
    </w:rPr>
  </w:style>
  <w:style w:type="paragraph" w:customStyle="1" w:styleId="Merknadstekst1">
    <w:name w:val="Merknadstekst1"/>
    <w:basedOn w:val="Normal"/>
    <w:next w:val="Merknadstekst"/>
    <w:link w:val="MerknadstekstTegn"/>
    <w:uiPriority w:val="99"/>
    <w:semiHidden/>
    <w:rsid w:val="0057018B"/>
    <w:pPr>
      <w:suppressAutoHyphens/>
      <w:spacing w:after="200" w:line="240" w:lineRule="auto"/>
      <w:jc w:val="both"/>
    </w:pPr>
  </w:style>
  <w:style w:type="character" w:customStyle="1" w:styleId="MerknadstekstTegn">
    <w:name w:val="Merknadstekst Tegn"/>
    <w:basedOn w:val="Standardskriftforavsnitt"/>
    <w:link w:val="Merknadstekst1"/>
    <w:uiPriority w:val="99"/>
    <w:semiHidden/>
    <w:rsid w:val="0057018B"/>
    <w:rPr>
      <w:lang w:val="nb-NO"/>
    </w:rPr>
  </w:style>
  <w:style w:type="table" w:customStyle="1" w:styleId="Rutenettabell1lysuthevingsfarge21">
    <w:name w:val="Rutenettabell 1 lys – uthevingsfarge 21"/>
    <w:basedOn w:val="Vanligtabell"/>
    <w:next w:val="Rutenettabell1lysuthevingsfarge2"/>
    <w:uiPriority w:val="46"/>
    <w:rsid w:val="0057018B"/>
    <w:pPr>
      <w:spacing w:after="0" w:line="240" w:lineRule="auto"/>
    </w:pPr>
    <w:rPr>
      <w:rFonts w:ascii="Palatino Linotype" w:hAnsi="Palatino Linotype" w:cs="Verdana"/>
      <w:kern w:val="0"/>
      <w:sz w:val="20"/>
      <w:szCs w:val="20"/>
      <w:lang w:val="da-DK"/>
      <w14:ligatures w14:val="none"/>
    </w:rPr>
    <w:tblPr>
      <w:tblStyleRowBandSize w:val="1"/>
      <w:tblStyleColBandSize w:val="1"/>
      <w:tblBorders>
        <w:top w:val="single" w:sz="4" w:space="0" w:color="B8CED2"/>
        <w:left w:val="single" w:sz="4" w:space="0" w:color="B8CED2"/>
        <w:bottom w:val="single" w:sz="4" w:space="0" w:color="B8CED2"/>
        <w:right w:val="single" w:sz="4" w:space="0" w:color="B8CED2"/>
        <w:insideH w:val="single" w:sz="4" w:space="0" w:color="B8CED2"/>
        <w:insideV w:val="single" w:sz="4" w:space="0" w:color="B8CED2"/>
      </w:tblBorders>
    </w:tblPr>
    <w:tblStylePr w:type="firstRow">
      <w:rPr>
        <w:b/>
        <w:bCs/>
      </w:rPr>
      <w:tblPr/>
      <w:tcPr>
        <w:tcBorders>
          <w:bottom w:val="single" w:sz="12" w:space="0" w:color="94B5BB"/>
        </w:tcBorders>
      </w:tcPr>
    </w:tblStylePr>
    <w:tblStylePr w:type="lastRow">
      <w:rPr>
        <w:b/>
        <w:bCs/>
      </w:rPr>
      <w:tblPr/>
      <w:tcPr>
        <w:tcBorders>
          <w:top w:val="double" w:sz="2" w:space="0" w:color="94B5BB"/>
        </w:tcBorders>
      </w:tcPr>
    </w:tblStylePr>
    <w:tblStylePr w:type="firstCol">
      <w:rPr>
        <w:b/>
        <w:bCs/>
      </w:rPr>
    </w:tblStylePr>
    <w:tblStylePr w:type="lastCol">
      <w:rPr>
        <w:b/>
        <w:bCs/>
      </w:rPr>
    </w:tblStylePr>
  </w:style>
  <w:style w:type="paragraph" w:styleId="Nummerertliste">
    <w:name w:val="List Number"/>
    <w:basedOn w:val="Normal"/>
    <w:uiPriority w:val="99"/>
    <w:unhideWhenUsed/>
    <w:rsid w:val="0057018B"/>
    <w:pPr>
      <w:numPr>
        <w:numId w:val="1"/>
      </w:numPr>
      <w:contextualSpacing/>
    </w:pPr>
  </w:style>
  <w:style w:type="paragraph" w:styleId="Merknadstekst">
    <w:name w:val="annotation text"/>
    <w:basedOn w:val="Normal"/>
    <w:link w:val="MerknadstekstTegn1"/>
    <w:uiPriority w:val="99"/>
    <w:unhideWhenUsed/>
    <w:rsid w:val="0057018B"/>
    <w:pPr>
      <w:spacing w:line="240" w:lineRule="auto"/>
    </w:pPr>
    <w:rPr>
      <w:sz w:val="20"/>
      <w:szCs w:val="20"/>
    </w:rPr>
  </w:style>
  <w:style w:type="character" w:customStyle="1" w:styleId="MerknadstekstTegn1">
    <w:name w:val="Merknadstekst Tegn1"/>
    <w:basedOn w:val="Standardskriftforavsnitt"/>
    <w:link w:val="Merknadstekst"/>
    <w:uiPriority w:val="99"/>
    <w:rsid w:val="0057018B"/>
    <w:rPr>
      <w:sz w:val="20"/>
      <w:szCs w:val="20"/>
    </w:rPr>
  </w:style>
  <w:style w:type="table" w:styleId="Rutenettabell1lysuthevingsfarge2">
    <w:name w:val="Grid Table 1 Light Accent 2"/>
    <w:basedOn w:val="Vanligtabell"/>
    <w:uiPriority w:val="46"/>
    <w:rsid w:val="0057018B"/>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paragraph" w:styleId="Kommentaremne">
    <w:name w:val="annotation subject"/>
    <w:basedOn w:val="Merknadstekst"/>
    <w:next w:val="Merknadstekst"/>
    <w:link w:val="KommentaremneTegn"/>
    <w:uiPriority w:val="99"/>
    <w:semiHidden/>
    <w:unhideWhenUsed/>
    <w:rsid w:val="008653BC"/>
    <w:rPr>
      <w:b/>
      <w:bCs/>
    </w:rPr>
  </w:style>
  <w:style w:type="character" w:customStyle="1" w:styleId="KommentaremneTegn">
    <w:name w:val="Kommentaremne Tegn"/>
    <w:basedOn w:val="MerknadstekstTegn1"/>
    <w:link w:val="Kommentaremne"/>
    <w:uiPriority w:val="99"/>
    <w:semiHidden/>
    <w:rsid w:val="008653BC"/>
    <w:rPr>
      <w:b/>
      <w:bCs/>
      <w:sz w:val="20"/>
      <w:szCs w:val="20"/>
    </w:rPr>
  </w:style>
  <w:style w:type="paragraph" w:styleId="Revisjon">
    <w:name w:val="Revision"/>
    <w:hidden/>
    <w:uiPriority w:val="99"/>
    <w:semiHidden/>
    <w:rsid w:val="00D02FA5"/>
    <w:pPr>
      <w:spacing w:after="0" w:line="240" w:lineRule="auto"/>
    </w:pPr>
  </w:style>
  <w:style w:type="character" w:styleId="Hyperkobling">
    <w:name w:val="Hyperlink"/>
    <w:basedOn w:val="Standardskriftforavsnitt"/>
    <w:uiPriority w:val="99"/>
    <w:semiHidden/>
    <w:unhideWhenUsed/>
    <w:rsid w:val="00206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yggalliansen.no/kunnskapssenter/publikasjoner/breeam-infrastruc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996728-d05f-4c59-a962-95cef01ee7f7">
      <Terms xmlns="http://schemas.microsoft.com/office/infopath/2007/PartnerControls"/>
    </lcf76f155ced4ddcb4097134ff3c332f>
    <TaxCatchAll xmlns="6a134960-c977-4733-ae75-fb0009659f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03DA8E68BBD64AA9ACF24945466F7A" ma:contentTypeVersion="11" ma:contentTypeDescription="Opprett et nytt dokument." ma:contentTypeScope="" ma:versionID="2135ccd85c5aa3ef17e176217849edae">
  <xsd:schema xmlns:xsd="http://www.w3.org/2001/XMLSchema" xmlns:xs="http://www.w3.org/2001/XMLSchema" xmlns:p="http://schemas.microsoft.com/office/2006/metadata/properties" xmlns:ns2="b0996728-d05f-4c59-a962-95cef01ee7f7" xmlns:ns3="6a134960-c977-4733-ae75-fb0009659f50" targetNamespace="http://schemas.microsoft.com/office/2006/metadata/properties" ma:root="true" ma:fieldsID="400849980c63f2f514f312f056fa5c96" ns2:_="" ns3:_="">
    <xsd:import namespace="b0996728-d05f-4c59-a962-95cef01ee7f7"/>
    <xsd:import namespace="6a134960-c977-4733-ae75-fb0009659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6728-d05f-4c59-a962-95cef01ee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11f38259-2803-424e-b20f-60f96a947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34960-c977-4733-ae75-fb0009659f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2801f5-999d-4a75-894a-8d1ddcff32cb}" ma:internalName="TaxCatchAll" ma:showField="CatchAllData" ma:web="6a134960-c977-4733-ae75-fb0009659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F07E6-AC51-4750-A0E2-4800209A3311}">
  <ds:schemaRefs>
    <ds:schemaRef ds:uri="http://schemas.microsoft.com/sharepoint/v3/contenttype/forms"/>
  </ds:schemaRefs>
</ds:datastoreItem>
</file>

<file path=customXml/itemProps2.xml><?xml version="1.0" encoding="utf-8"?>
<ds:datastoreItem xmlns:ds="http://schemas.openxmlformats.org/officeDocument/2006/customXml" ds:itemID="{776DD847-83A6-4057-8DC1-9CB7063FDA4E}">
  <ds:schemaRefs>
    <ds:schemaRef ds:uri="http://schemas.microsoft.com/office/2006/metadata/properties"/>
    <ds:schemaRef ds:uri="http://schemas.microsoft.com/office/infopath/2007/PartnerControls"/>
    <ds:schemaRef ds:uri="b0996728-d05f-4c59-a962-95cef01ee7f7"/>
    <ds:schemaRef ds:uri="6a134960-c977-4733-ae75-fb0009659f50"/>
  </ds:schemaRefs>
</ds:datastoreItem>
</file>

<file path=customXml/itemProps3.xml><?xml version="1.0" encoding="utf-8"?>
<ds:datastoreItem xmlns:ds="http://schemas.openxmlformats.org/officeDocument/2006/customXml" ds:itemID="{84430F8E-4205-4AB7-B55D-61CE515AE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6728-d05f-4c59-a962-95cef01ee7f7"/>
    <ds:schemaRef ds:uri="6a134960-c977-4733-ae75-fb000965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15048</Characters>
  <Application>Microsoft Office Word</Application>
  <DocSecurity>0</DocSecurity>
  <Lines>214</Lines>
  <Paragraphs>54</Paragraphs>
  <ScaleCrop>false</ScaleCrop>
  <HeadingPairs>
    <vt:vector size="2" baseType="variant">
      <vt:variant>
        <vt:lpstr>Tittel</vt:lpstr>
      </vt:variant>
      <vt:variant>
        <vt:i4>1</vt:i4>
      </vt:variant>
    </vt:vector>
  </HeadingPairs>
  <TitlesOfParts>
    <vt:vector size="1" baseType="lpstr">
      <vt:lpstr>Kontraktsveileder BREEAM med tilbakemeldinger.docx</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2024-10-14T10:23:00Z</dcterms:created>
  <dcterms:modified xsi:type="dcterms:W3CDTF">2024-10-22T13:47:00Z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0x0101009403DA8E68BBD64AA9ACF24945466F7A</vt:lpwstr>
  </property>
</Properties>
</file>