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D322" w14:textId="13EEB1C6" w:rsidR="2DB0C728" w:rsidRDefault="2DB0C728" w:rsidP="39D0DE62">
      <w:pPr>
        <w:pStyle w:val="Overskrift4"/>
      </w:pPr>
      <w:r w:rsidRPr="39D0DE62">
        <w:rPr>
          <w:rFonts w:ascii="Source Sans Pro" w:eastAsia="Source Sans Pro" w:hAnsi="Source Sans Pro" w:cs="Source Sans Pro"/>
          <w:b/>
          <w:bCs/>
          <w:i w:val="0"/>
          <w:iCs w:val="0"/>
          <w:color w:val="000000" w:themeColor="text1"/>
          <w:sz w:val="24"/>
          <w:szCs w:val="24"/>
        </w:rPr>
        <w:t>Reguleringsmyndigheten for energi (RME)</w:t>
      </w:r>
      <w:r w:rsidRPr="39D0DE62">
        <w:rPr>
          <w:rFonts w:asciiTheme="minorHAnsi" w:eastAsiaTheme="minorEastAsia" w:hAnsiTheme="minorHAnsi" w:cstheme="minorBidi"/>
          <w:color w:val="auto"/>
          <w:lang w:eastAsia="en-US"/>
        </w:rPr>
        <w:t xml:space="preserve"> </w:t>
      </w:r>
    </w:p>
    <w:p w14:paraId="063DF732" w14:textId="77777777" w:rsidR="001343AD" w:rsidRDefault="001343AD" w:rsidP="004710C6">
      <w:pPr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5253BF8D" w14:textId="38422A7C" w:rsidR="001343AD" w:rsidRPr="00716953" w:rsidRDefault="00444632" w:rsidP="00716953">
      <w:pPr>
        <w:pStyle w:val="Overskrift1"/>
      </w:pPr>
      <w:r w:rsidRPr="00716953">
        <w:t xml:space="preserve">Foreløpig høringssvar fra Grønn </w:t>
      </w:r>
      <w:proofErr w:type="spellStart"/>
      <w:r w:rsidRPr="00716953">
        <w:t>Byggallianse</w:t>
      </w:r>
      <w:proofErr w:type="spellEnd"/>
      <w:r w:rsidRPr="00716953">
        <w:t xml:space="preserve"> og Norsk Eiendom</w:t>
      </w:r>
      <w:r w:rsidR="000148B4" w:rsidRPr="00716953">
        <w:t xml:space="preserve"> </w:t>
      </w:r>
      <w:r w:rsidR="24D0A258" w:rsidRPr="00716953">
        <w:t>- Forslag om innføring av modell for deling av overskuddsproduksjon</w:t>
      </w:r>
    </w:p>
    <w:p w14:paraId="08EB2BAF" w14:textId="75D26058" w:rsidR="009D3205" w:rsidRDefault="009D3205" w:rsidP="39D0DE62">
      <w:pPr>
        <w:ind w:left="0" w:firstLine="0"/>
      </w:pPr>
    </w:p>
    <w:p w14:paraId="5701D66C" w14:textId="1F3760A7" w:rsidR="009D3205" w:rsidRDefault="4B8BD3EE" w:rsidP="39D0DE62">
      <w:pPr>
        <w:ind w:left="0" w:firstLine="0"/>
      </w:pPr>
      <w:r w:rsidRPr="39D0DE62">
        <w:t xml:space="preserve">Vi viser til høringsforslag </w:t>
      </w:r>
      <w:r w:rsidR="719EC3D3" w:rsidRPr="39D0DE62">
        <w:t>om</w:t>
      </w:r>
      <w:r w:rsidRPr="39D0DE62">
        <w:t xml:space="preserve"> regelverk for deling av fornybar kraftproduksjon. Dette dokumentet beskriver høringsinnspillene fra Grønn Byggallianse og Norsk Eiendom.</w:t>
      </w:r>
    </w:p>
    <w:p w14:paraId="56F4601C" w14:textId="11C5611E" w:rsidR="00DF7A22" w:rsidRDefault="00DF7A22" w:rsidP="39D0DE62"/>
    <w:p w14:paraId="782BB4CD" w14:textId="057D1B8D" w:rsidR="00DF7A22" w:rsidRDefault="38699FC5" w:rsidP="39D0DE62">
      <w:r w:rsidRPr="39D0DE62">
        <w:t>Vi er meget positive til forslag</w:t>
      </w:r>
      <w:r w:rsidR="11D9AE1C" w:rsidRPr="39D0DE62">
        <w:t>et</w:t>
      </w:r>
      <w:r w:rsidRPr="39D0DE62">
        <w:t xml:space="preserve"> om </w:t>
      </w:r>
      <w:r w:rsidR="37F403B3" w:rsidRPr="39D0DE62">
        <w:t>at</w:t>
      </w:r>
      <w:r w:rsidRPr="39D0DE62">
        <w:t xml:space="preserve"> produsenter av fornybar kraft kan dele produksjonen sin med øvrige nettkunder på samme eiendom</w:t>
      </w:r>
      <w:r w:rsidR="7BFCD5D4" w:rsidRPr="39D0DE62">
        <w:t xml:space="preserve">. Vi har lenge påpekt at dagens </w:t>
      </w:r>
      <w:proofErr w:type="spellStart"/>
      <w:r w:rsidR="11AA95A9" w:rsidRPr="39D0DE62">
        <w:t>regulative</w:t>
      </w:r>
      <w:proofErr w:type="spellEnd"/>
      <w:r w:rsidR="11AA95A9" w:rsidRPr="39D0DE62">
        <w:t xml:space="preserve"> </w:t>
      </w:r>
      <w:r w:rsidR="7BFCD5D4" w:rsidRPr="39D0DE62">
        <w:t xml:space="preserve">begrensninger </w:t>
      </w:r>
      <w:r w:rsidR="37873B3F" w:rsidRPr="39D0DE62">
        <w:t xml:space="preserve">for </w:t>
      </w:r>
      <w:r w:rsidR="7BFCD5D4" w:rsidRPr="39D0DE62">
        <w:t xml:space="preserve">å gjøre dette er et viktig hinder for </w:t>
      </w:r>
      <w:r w:rsidR="712C20B4" w:rsidRPr="39D0DE62">
        <w:t>utbygging</w:t>
      </w:r>
      <w:r w:rsidR="7BFCD5D4" w:rsidRPr="39D0DE62">
        <w:t xml:space="preserve"> av solkraft</w:t>
      </w:r>
      <w:r w:rsidR="4D15131B" w:rsidRPr="39D0DE62">
        <w:t xml:space="preserve">. Det gir redusert kost/nytte-verdi for utbygger </w:t>
      </w:r>
      <w:r w:rsidR="38FB794D" w:rsidRPr="39D0DE62">
        <w:t>og gir uheldige effekttopper</w:t>
      </w:r>
      <w:r w:rsidR="7BFCD5D4" w:rsidRPr="39D0DE62">
        <w:t xml:space="preserve">. </w:t>
      </w:r>
      <w:r w:rsidR="383A8752" w:rsidRPr="39D0DE62">
        <w:t xml:space="preserve">Med foreslåtte EU-krav om </w:t>
      </w:r>
      <w:proofErr w:type="spellStart"/>
      <w:r w:rsidR="383A8752" w:rsidRPr="39D0DE62">
        <w:t>solproduksjon</w:t>
      </w:r>
      <w:proofErr w:type="spellEnd"/>
      <w:r w:rsidR="383A8752" w:rsidRPr="39D0DE62">
        <w:t xml:space="preserve"> på alle større bygg, blir denne problemstillingen enda viktigere. </w:t>
      </w:r>
    </w:p>
    <w:p w14:paraId="3D0A2507" w14:textId="362E3C77" w:rsidR="00DF7A22" w:rsidRDefault="00DF7A22" w:rsidP="39D0DE62"/>
    <w:p w14:paraId="4B43FB87" w14:textId="337878AD" w:rsidR="00DF7A22" w:rsidRDefault="38699FC5" w:rsidP="39D0DE62">
      <w:r w:rsidRPr="39D0DE62">
        <w:t>De fleste moderne kontor- og forretningsbygninger har et netto kjøle</w:t>
      </w:r>
      <w:r w:rsidR="3E60DBCB" w:rsidRPr="39D0DE62">
        <w:t>-</w:t>
      </w:r>
      <w:r w:rsidRPr="39D0DE62">
        <w:t xml:space="preserve"> og varmebehov over året. Det er også ofte en tidsforskyvning mellom lokal energiproduksjon, for eksempel solfangere og solceller, og lokal bruk av energien, spesielt i svært energiambisiøse bygg. Dersom </w:t>
      </w:r>
      <w:r w:rsidR="6667FA62" w:rsidRPr="39D0DE62">
        <w:t xml:space="preserve">det lokale </w:t>
      </w:r>
      <w:r w:rsidR="42113C92" w:rsidRPr="39D0DE62">
        <w:t xml:space="preserve">nettet </w:t>
      </w:r>
      <w:r w:rsidRPr="39D0DE62">
        <w:t>benyttes for å håndtere disse tidsforskyvningene vil det føre til effekttopper. Dette vil være et økende problem etter hvert som lavutslippssamfunnet utvikles og lokal energiproduksjon i bygg skaleres opp</w:t>
      </w:r>
      <w:r w:rsidR="6100B22F" w:rsidRPr="39D0DE62">
        <w:t xml:space="preserve">. </w:t>
      </w:r>
      <w:r w:rsidR="358451B5" w:rsidRPr="39D0DE62">
        <w:t xml:space="preserve">Det gir </w:t>
      </w:r>
      <w:r w:rsidR="3BEAE819" w:rsidRPr="39D0DE62">
        <w:t xml:space="preserve">både best økonomi for utbygger og </w:t>
      </w:r>
      <w:r w:rsidR="358451B5" w:rsidRPr="39D0DE62">
        <w:t xml:space="preserve">best </w:t>
      </w:r>
      <w:proofErr w:type="spellStart"/>
      <w:r w:rsidR="358451B5" w:rsidRPr="39D0DE62">
        <w:t>samfunnsnytte</w:t>
      </w:r>
      <w:proofErr w:type="spellEnd"/>
      <w:r w:rsidR="358451B5" w:rsidRPr="39D0DE62">
        <w:t xml:space="preserve"> d</w:t>
      </w:r>
      <w:r w:rsidR="6100B22F" w:rsidRPr="39D0DE62">
        <w:t xml:space="preserve">ersom </w:t>
      </w:r>
      <w:r w:rsidR="60A20D4D" w:rsidRPr="39D0DE62">
        <w:t xml:space="preserve">byggeier gis anledning til å </w:t>
      </w:r>
      <w:r w:rsidR="6100B22F" w:rsidRPr="39D0DE62">
        <w:t xml:space="preserve">bygge ut og fordele solenergi </w:t>
      </w:r>
      <w:r w:rsidR="746D271D" w:rsidRPr="39D0DE62">
        <w:t xml:space="preserve">til andre bygg </w:t>
      </w:r>
      <w:r w:rsidR="78BA85FB" w:rsidRPr="39D0DE62">
        <w:t xml:space="preserve">og </w:t>
      </w:r>
      <w:r w:rsidR="10123786" w:rsidRPr="39D0DE62">
        <w:t xml:space="preserve">dermed </w:t>
      </w:r>
      <w:r w:rsidR="29A998E0" w:rsidRPr="39D0DE62">
        <w:t xml:space="preserve">ta </w:t>
      </w:r>
      <w:r w:rsidR="6100B22F" w:rsidRPr="39D0DE62">
        <w:t>ned effekttoppene i nabolaget</w:t>
      </w:r>
      <w:r w:rsidR="210DE94C" w:rsidRPr="39D0DE62">
        <w:t>. Vi kan da utsette</w:t>
      </w:r>
      <w:r w:rsidR="6100B22F" w:rsidRPr="39D0DE62">
        <w:t xml:space="preserve"> utbygging av hovednettet</w:t>
      </w:r>
      <w:r w:rsidR="02ACB935" w:rsidRPr="39D0DE62">
        <w:t>.</w:t>
      </w:r>
    </w:p>
    <w:p w14:paraId="41EF3771" w14:textId="2BAD9A9F" w:rsidR="00DF7A22" w:rsidRDefault="00DF7A22" w:rsidP="39D0DE62"/>
    <w:p w14:paraId="4BB61389" w14:textId="4E788DEF" w:rsidR="00DF7A22" w:rsidRDefault="7AD3BD81" w:rsidP="39D0DE62">
      <w:r w:rsidRPr="39D0DE62">
        <w:t>Vi har følgende innspill til det konkrete forslaget:</w:t>
      </w:r>
    </w:p>
    <w:p w14:paraId="11DAC035" w14:textId="77777777" w:rsidR="00444632" w:rsidRDefault="00444632" w:rsidP="00444632"/>
    <w:p w14:paraId="15D65379" w14:textId="6E8F6CE8" w:rsidR="00444632" w:rsidRDefault="00444632" w:rsidP="00444632">
      <w:pPr>
        <w:pStyle w:val="Listeavsnitt"/>
        <w:numPr>
          <w:ilvl w:val="0"/>
          <w:numId w:val="6"/>
        </w:numPr>
      </w:pPr>
      <w:r>
        <w:t>Vi støtter at o</w:t>
      </w:r>
      <w:r w:rsidR="061B8442" w:rsidRPr="39D0DE62">
        <w:t>rdningen gjelde</w:t>
      </w:r>
      <w:r>
        <w:t>r for</w:t>
      </w:r>
      <w:r w:rsidR="061B8442" w:rsidRPr="39D0DE62">
        <w:t xml:space="preserve"> alle </w:t>
      </w:r>
      <w:proofErr w:type="spellStart"/>
      <w:r w:rsidR="061B8442" w:rsidRPr="39D0DE62">
        <w:t>byggtyper</w:t>
      </w:r>
      <w:proofErr w:type="spellEnd"/>
      <w:r w:rsidR="061B8442" w:rsidRPr="39D0DE62">
        <w:t xml:space="preserve">, også næringsbygg, </w:t>
      </w:r>
      <w:r>
        <w:t xml:space="preserve">og </w:t>
      </w:r>
      <w:r w:rsidR="061B8442" w:rsidRPr="39D0DE62">
        <w:t xml:space="preserve">ikke kun </w:t>
      </w:r>
      <w:r w:rsidR="00716953">
        <w:t xml:space="preserve">begrenses til </w:t>
      </w:r>
      <w:r w:rsidR="061B8442" w:rsidRPr="39D0DE62">
        <w:t>boliger</w:t>
      </w:r>
      <w:r w:rsidR="6B0C6AE5" w:rsidRPr="39D0DE62">
        <w:t>.</w:t>
      </w:r>
      <w:r w:rsidR="061B8442" w:rsidRPr="39D0DE62">
        <w:t xml:space="preserve"> </w:t>
      </w:r>
    </w:p>
    <w:p w14:paraId="51482893" w14:textId="3DA0DFA8" w:rsidR="00DF7A22" w:rsidRPr="00444632" w:rsidRDefault="7994EB80" w:rsidP="00444632">
      <w:pPr>
        <w:pStyle w:val="Listeavsnitt"/>
        <w:numPr>
          <w:ilvl w:val="0"/>
          <w:numId w:val="6"/>
        </w:numPr>
      </w:pPr>
      <w:r w:rsidRPr="39D0DE62">
        <w:t>Vi er positive til at RME vil pålegge nettselskapene å innhente informasjon om, og registrere installert effekt for alle anlegg som mater kraft inn på nettet</w:t>
      </w:r>
      <w:r w:rsidR="00716953">
        <w:t>,</w:t>
      </w:r>
      <w:r w:rsidRPr="39D0DE62">
        <w:t xml:space="preserve"> </w:t>
      </w:r>
      <w:r w:rsidR="00716953">
        <w:t>slik at</w:t>
      </w:r>
      <w:r w:rsidRPr="39D0DE62">
        <w:t xml:space="preserve"> en nasjonal oversikt over total energiproduksjon</w:t>
      </w:r>
      <w:r w:rsidR="00716953">
        <w:t xml:space="preserve"> blir muliggjort</w:t>
      </w:r>
      <w:r w:rsidRPr="39D0DE62">
        <w:t xml:space="preserve">. </w:t>
      </w:r>
    </w:p>
    <w:p w14:paraId="7D3E57A2" w14:textId="08241922" w:rsidR="00DF7A22" w:rsidRDefault="00DF7A22" w:rsidP="00444632">
      <w:pPr>
        <w:ind w:left="0" w:firstLine="0"/>
      </w:pPr>
    </w:p>
    <w:p w14:paraId="07FBDA0C" w14:textId="023B9031" w:rsidR="005343F5" w:rsidRDefault="00716953" w:rsidP="00444632">
      <w:pPr>
        <w:ind w:left="0" w:firstLine="0"/>
      </w:pPr>
      <w:r>
        <w:rPr>
          <w:color w:val="000000"/>
        </w:rPr>
        <w:t xml:space="preserve">Endelig vil vi bemerke betydningen av at </w:t>
      </w:r>
      <w:r>
        <w:rPr>
          <w:color w:val="000000"/>
        </w:rPr>
        <w:t>egenprodusert strøm på tvers av de ulike eiendommene som sorterer inn under samme bygningskompleks og/eller boligselskap</w:t>
      </w:r>
      <w:r>
        <w:rPr>
          <w:color w:val="000000"/>
        </w:rPr>
        <w:t xml:space="preserve"> må også kunne deles</w:t>
      </w:r>
      <w:r>
        <w:rPr>
          <w:color w:val="000000"/>
        </w:rPr>
        <w:t>.</w:t>
      </w:r>
      <w:r>
        <w:t xml:space="preserve"> Her vil vi vise til vårt innspill </w:t>
      </w:r>
      <w:r w:rsidR="00A7678D">
        <w:t xml:space="preserve">av 28. april 2022 </w:t>
      </w:r>
      <w:r>
        <w:t xml:space="preserve">til </w:t>
      </w:r>
      <w:r w:rsidR="00A7678D" w:rsidRPr="00A7678D">
        <w:t xml:space="preserve">Meld. St. 36 (2020-2021) Energi til arbeid - langsiktig verdiskaping fra norske energiressurser, Meld. St. 11 (2021-2022) Tilleggsmelding til Meld. St. 36 (2020-2021) Energi til arbeid - langsiktig verdiskaping fra norske energiressurser </w:t>
      </w:r>
      <w:r w:rsidR="00A7678D">
        <w:t xml:space="preserve">og til innspill av 25. mai 2022 til </w:t>
      </w:r>
      <w:r w:rsidR="005343F5">
        <w:t>Energikommisjonen</w:t>
      </w:r>
      <w:r w:rsidR="00A7678D">
        <w:t>, der vi fremhever</w:t>
      </w:r>
      <w:r w:rsidR="005343F5">
        <w:t>:</w:t>
      </w:r>
    </w:p>
    <w:p w14:paraId="0AEB9F56" w14:textId="0C4C5DD8" w:rsidR="005343F5" w:rsidRDefault="005343F5" w:rsidP="00444632">
      <w:pPr>
        <w:ind w:left="0" w:firstLine="0"/>
      </w:pPr>
    </w:p>
    <w:p w14:paraId="3FAD9580" w14:textId="77777777" w:rsidR="005343F5" w:rsidRPr="005343F5" w:rsidRDefault="005343F5" w:rsidP="005343F5">
      <w:pPr>
        <w:pStyle w:val="Listeavsnitt"/>
        <w:numPr>
          <w:ilvl w:val="0"/>
          <w:numId w:val="6"/>
        </w:numPr>
        <w:rPr>
          <w:rFonts w:cstheme="minorHAnsi"/>
        </w:rPr>
      </w:pPr>
      <w:r>
        <w:t>«</w:t>
      </w:r>
      <w:r w:rsidRPr="005343F5">
        <w:rPr>
          <w:rFonts w:cstheme="minorHAnsi"/>
          <w:b/>
          <w:bCs/>
          <w:color w:val="000000" w:themeColor="text1"/>
        </w:rPr>
        <w:t>Kommisjonen bør foreslå endringer i relevant regelverk slik at lokal energiproduksjon i bygg kan utnyttes av nabobygg</w:t>
      </w:r>
    </w:p>
    <w:p w14:paraId="0B92B4BB" w14:textId="77777777" w:rsidR="005343F5" w:rsidRDefault="005343F5" w:rsidP="005343F5">
      <w:pPr>
        <w:pStyle w:val="Listeavsnitt"/>
        <w:ind w:firstLine="0"/>
        <w:rPr>
          <w:rFonts w:cstheme="minorHAnsi"/>
          <w:color w:val="000000" w:themeColor="text1"/>
        </w:rPr>
      </w:pPr>
    </w:p>
    <w:p w14:paraId="0920CC76" w14:textId="5622AEA4" w:rsidR="005343F5" w:rsidRPr="00DB7439" w:rsidRDefault="005343F5" w:rsidP="005343F5">
      <w:pPr>
        <w:pStyle w:val="Listeavsnitt"/>
        <w:ind w:firstLine="0"/>
        <w:rPr>
          <w:rFonts w:cstheme="minorHAnsi"/>
        </w:rPr>
      </w:pPr>
      <w:r w:rsidRPr="005343F5">
        <w:rPr>
          <w:rFonts w:cstheme="minorHAnsi"/>
          <w:color w:val="000000" w:themeColor="text1"/>
        </w:rPr>
        <w:lastRenderedPageBreak/>
        <w:t xml:space="preserve">Bygg egner seg ofte godt for bruk av solfangere og solceller, men potensialet i byggenes takflater og fasader er lite utnyttet. Teknologi og lønnsomhet i sol er demonstrert, ikke minst gjennom Powerhouse-prosjektene, som produserer mer energi enn byggene forbruker.  </w:t>
      </w:r>
      <w:r w:rsidRPr="006B7994">
        <w:rPr>
          <w:rFonts w:cstheme="minorHAnsi"/>
          <w:color w:val="000000" w:themeColor="text1"/>
        </w:rPr>
        <w:t xml:space="preserve">Powerhouse </w:t>
      </w:r>
      <w:proofErr w:type="spellStart"/>
      <w:r w:rsidRPr="006B7994">
        <w:rPr>
          <w:rFonts w:cstheme="minorHAnsi"/>
          <w:color w:val="000000" w:themeColor="text1"/>
        </w:rPr>
        <w:t>Brattørkaia</w:t>
      </w:r>
      <w:proofErr w:type="spellEnd"/>
      <w:r w:rsidRPr="006B7994">
        <w:rPr>
          <w:rFonts w:cstheme="minorHAnsi"/>
          <w:color w:val="000000" w:themeColor="text1"/>
        </w:rPr>
        <w:t xml:space="preserve"> i Trondheim produserer 500 000 kilowattimer (kWh) årlig, hvorav halvparten er overskuddsstrøm. Kraftoverskuddet kan selges til seks andre bygg som står i klynge rundt bygget, eller til å lade de fylkeskommunale elbussene som parkerer ved bygget. Men regelverket tillater ikke slik kraftutveksling, fordi kjøperne av kraften ikke har samme organisasjonsnummer som produsent. Her må det skje en endring</w:t>
      </w:r>
      <w:r>
        <w:rPr>
          <w:rFonts w:cstheme="minorHAnsi"/>
          <w:color w:val="000000" w:themeColor="text1"/>
        </w:rPr>
        <w:t xml:space="preserve">. </w:t>
      </w:r>
      <w:r w:rsidRPr="6843114F">
        <w:rPr>
          <w:color w:val="000000" w:themeColor="text1"/>
        </w:rPr>
        <w:t>Morgendagens energiløsning må inkludere desentralisert produksjon og distribusjon</w:t>
      </w:r>
      <w:r>
        <w:rPr>
          <w:color w:val="000000" w:themeColor="text1"/>
        </w:rPr>
        <w:t>, slik at behovet for utbygging av det eksisterende kraftnettet kan reduseres. Regelverket må endres slik at det er tilpasset dagens og fremtidens muligheter for kraftdistribusjon</w:t>
      </w:r>
      <w:r>
        <w:rPr>
          <w:rFonts w:cstheme="minorHAnsi"/>
          <w:color w:val="000000" w:themeColor="text1"/>
        </w:rPr>
        <w:t>».</w:t>
      </w:r>
    </w:p>
    <w:p w14:paraId="6FB65F06" w14:textId="77777777" w:rsidR="005343F5" w:rsidRDefault="005343F5" w:rsidP="00444632">
      <w:pPr>
        <w:ind w:left="0" w:firstLine="0"/>
      </w:pPr>
    </w:p>
    <w:p w14:paraId="0AB68864" w14:textId="179B0F6A" w:rsidR="00444632" w:rsidRDefault="00444632" w:rsidP="00444632">
      <w:pPr>
        <w:ind w:left="0" w:firstLine="0"/>
      </w:pPr>
    </w:p>
    <w:p w14:paraId="32AB19FE" w14:textId="77777777" w:rsidR="00444632" w:rsidRDefault="00444632" w:rsidP="00444632">
      <w:pPr>
        <w:ind w:left="0" w:firstLine="0"/>
      </w:pPr>
    </w:p>
    <w:p w14:paraId="11497044" w14:textId="72BDC977" w:rsidR="00DF7A22" w:rsidRDefault="00DF7A22" w:rsidP="39D0DE62">
      <w:pPr>
        <w:ind w:left="0" w:firstLine="0"/>
        <w:rPr>
          <w:lang w:eastAsia="en-US"/>
        </w:rPr>
      </w:pPr>
    </w:p>
    <w:p w14:paraId="74BE48F1" w14:textId="77777777" w:rsidR="00DF7A22" w:rsidRDefault="00DF7A22" w:rsidP="004710C6">
      <w:pPr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F0C7AD5" w14:textId="77777777" w:rsidR="00DF7A22" w:rsidRDefault="00DF7A22" w:rsidP="004710C6">
      <w:pPr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3AB14552" w14:textId="77777777" w:rsidR="00DF7A22" w:rsidRDefault="00DF7A22" w:rsidP="004710C6">
      <w:pPr>
        <w:ind w:left="0" w:firstLine="0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45E8FC37" w14:textId="77777777" w:rsidR="006F4EA9" w:rsidRDefault="006F4EA9" w:rsidP="004710C6">
      <w:pPr>
        <w:ind w:left="0" w:firstLine="0"/>
      </w:pPr>
    </w:p>
    <w:sectPr w:rsidR="006F4E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56" w:right="1195" w:bottom="1488" w:left="1589" w:header="529" w:footer="59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FA31" w14:textId="77777777" w:rsidR="00266B20" w:rsidRDefault="00266B20" w:rsidP="00AF3458">
      <w:pPr>
        <w:spacing w:after="0" w:line="240" w:lineRule="auto"/>
      </w:pPr>
      <w:r>
        <w:separator/>
      </w:r>
    </w:p>
  </w:endnote>
  <w:endnote w:type="continuationSeparator" w:id="0">
    <w:p w14:paraId="3CC26034" w14:textId="77777777" w:rsidR="00266B20" w:rsidRDefault="00266B20" w:rsidP="00AF3458">
      <w:pPr>
        <w:spacing w:after="0" w:line="240" w:lineRule="auto"/>
      </w:pPr>
      <w:r>
        <w:continuationSeparator/>
      </w:r>
    </w:p>
  </w:endnote>
  <w:endnote w:type="continuationNotice" w:id="1">
    <w:p w14:paraId="56A3556F" w14:textId="77777777" w:rsidR="00266B20" w:rsidRDefault="00266B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E28B" w14:textId="77777777" w:rsidR="00871A53" w:rsidRDefault="003C40D7">
    <w:pPr>
      <w:spacing w:after="0" w:line="259" w:lineRule="auto"/>
      <w:ind w:left="0" w:right="-524" w:firstLine="0"/>
      <w:jc w:val="right"/>
    </w:pPr>
    <w:r>
      <w:rPr>
        <w:color w:val="000000"/>
        <w:sz w:val="18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1</w:t>
    </w:r>
    <w:r>
      <w:rPr>
        <w:color w:val="000000"/>
        <w:sz w:val="18"/>
      </w:rPr>
      <w:fldChar w:fldCharType="end"/>
    </w:r>
    <w:r>
      <w:rPr>
        <w:color w:val="000000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888A" w14:textId="77777777" w:rsidR="00871A53" w:rsidRDefault="003C40D7">
    <w:pPr>
      <w:spacing w:after="0" w:line="259" w:lineRule="auto"/>
      <w:ind w:left="0" w:right="-524" w:firstLine="0"/>
      <w:jc w:val="right"/>
    </w:pPr>
    <w:r>
      <w:rPr>
        <w:color w:val="000000"/>
        <w:sz w:val="18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1</w:t>
    </w:r>
    <w:r>
      <w:rPr>
        <w:color w:val="000000"/>
        <w:sz w:val="18"/>
      </w:rPr>
      <w:fldChar w:fldCharType="end"/>
    </w:r>
    <w:r>
      <w:rPr>
        <w:color w:val="000000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B600" w14:textId="77777777" w:rsidR="00871A53" w:rsidRDefault="003C40D7">
    <w:pPr>
      <w:spacing w:after="0" w:line="259" w:lineRule="auto"/>
      <w:ind w:left="0" w:right="-524" w:firstLine="0"/>
      <w:jc w:val="right"/>
    </w:pPr>
    <w:r>
      <w:rPr>
        <w:color w:val="000000"/>
        <w:sz w:val="18"/>
      </w:rP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1</w:t>
    </w:r>
    <w:r>
      <w:rPr>
        <w:color w:val="000000"/>
        <w:sz w:val="18"/>
      </w:rPr>
      <w:fldChar w:fldCharType="end"/>
    </w:r>
    <w:r>
      <w:rPr>
        <w:color w:val="00000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1DF0" w14:textId="77777777" w:rsidR="00266B20" w:rsidRDefault="00266B20" w:rsidP="00AF3458">
      <w:pPr>
        <w:spacing w:after="0" w:line="240" w:lineRule="auto"/>
      </w:pPr>
      <w:r>
        <w:separator/>
      </w:r>
    </w:p>
  </w:footnote>
  <w:footnote w:type="continuationSeparator" w:id="0">
    <w:p w14:paraId="77CA2446" w14:textId="77777777" w:rsidR="00266B20" w:rsidRDefault="00266B20" w:rsidP="00AF3458">
      <w:pPr>
        <w:spacing w:after="0" w:line="240" w:lineRule="auto"/>
      </w:pPr>
      <w:r>
        <w:continuationSeparator/>
      </w:r>
    </w:p>
  </w:footnote>
  <w:footnote w:type="continuationNotice" w:id="1">
    <w:p w14:paraId="1471D204" w14:textId="77777777" w:rsidR="00266B20" w:rsidRDefault="00266B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2EBF" w14:textId="77777777" w:rsidR="00871A53" w:rsidRDefault="003C40D7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155A7C1" wp14:editId="1E115C33">
          <wp:simplePos x="0" y="0"/>
          <wp:positionH relativeFrom="page">
            <wp:posOffset>4199254</wp:posOffset>
          </wp:positionH>
          <wp:positionV relativeFrom="page">
            <wp:posOffset>335914</wp:posOffset>
          </wp:positionV>
          <wp:extent cx="2612136" cy="670560"/>
          <wp:effectExtent l="0" t="0" r="0" b="0"/>
          <wp:wrapSquare wrapText="bothSides"/>
          <wp:docPr id="4662" name="Picture 46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2" name="Picture 46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2136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0" wp14:anchorId="1B0AD623" wp14:editId="09C5CCBE">
          <wp:simplePos x="0" y="0"/>
          <wp:positionH relativeFrom="page">
            <wp:posOffset>742950</wp:posOffset>
          </wp:positionH>
          <wp:positionV relativeFrom="page">
            <wp:posOffset>419100</wp:posOffset>
          </wp:positionV>
          <wp:extent cx="2219325" cy="471170"/>
          <wp:effectExtent l="0" t="0" r="0" b="0"/>
          <wp:wrapSquare wrapText="bothSides"/>
          <wp:docPr id="198" name="Picture 1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Picture 19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137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51"/>
      <w:gridCol w:w="4819"/>
    </w:tblGrid>
    <w:tr w:rsidR="00F43102" w14:paraId="6FA576E7" w14:textId="77777777" w:rsidTr="0021518F">
      <w:trPr>
        <w:trHeight w:val="851"/>
      </w:trPr>
      <w:tc>
        <w:tcPr>
          <w:tcW w:w="6551" w:type="dxa"/>
        </w:tcPr>
        <w:p w14:paraId="0FA4007B" w14:textId="77777777" w:rsidR="00F43102" w:rsidRDefault="003C40D7" w:rsidP="00F43102">
          <w:pPr>
            <w:spacing w:after="0" w:line="259" w:lineRule="auto"/>
            <w:ind w:left="0" w:right="6040" w:firstLine="0"/>
          </w:pPr>
          <w:r>
            <w:t xml:space="preserve">   </w:t>
          </w:r>
          <w:r>
            <w:rPr>
              <w:noProof/>
            </w:rPr>
            <w:drawing>
              <wp:inline distT="0" distB="0" distL="0" distR="0" wp14:anchorId="044C4834" wp14:editId="7D7AA8B0">
                <wp:extent cx="2419350" cy="513276"/>
                <wp:effectExtent l="0" t="0" r="0" b="127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4182" cy="520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14:paraId="21B31E7D" w14:textId="77777777" w:rsidR="00F43102" w:rsidRDefault="003C40D7" w:rsidP="00F43102">
          <w:pPr>
            <w:spacing w:after="0" w:line="259" w:lineRule="auto"/>
            <w:ind w:left="0" w:right="6040" w:firstLine="0"/>
          </w:pPr>
          <w:r>
            <w:rPr>
              <w:noProof/>
            </w:rPr>
            <w:drawing>
              <wp:anchor distT="0" distB="0" distL="114300" distR="114300" simplePos="0" relativeHeight="251658243" behindDoc="0" locked="0" layoutInCell="1" allowOverlap="0" wp14:anchorId="65A651CF" wp14:editId="389D655D">
                <wp:simplePos x="0" y="0"/>
                <wp:positionH relativeFrom="page">
                  <wp:posOffset>57150</wp:posOffset>
                </wp:positionH>
                <wp:positionV relativeFrom="page">
                  <wp:posOffset>186690</wp:posOffset>
                </wp:positionV>
                <wp:extent cx="2612136" cy="670560"/>
                <wp:effectExtent l="0" t="0" r="0" b="0"/>
                <wp:wrapSquare wrapText="bothSides"/>
                <wp:docPr id="5" name="Picture 46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9" name="Picture 46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70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</w:rPr>
            <w:tab/>
          </w:r>
        </w:p>
      </w:tc>
    </w:tr>
  </w:tbl>
  <w:p w14:paraId="39CF5F6C" w14:textId="77777777" w:rsidR="00871A53" w:rsidRDefault="00000000">
    <w:pPr>
      <w:spacing w:after="0" w:line="259" w:lineRule="auto"/>
      <w:ind w:left="0" w:right="0" w:firstLine="0"/>
    </w:pPr>
  </w:p>
  <w:p w14:paraId="638C9477" w14:textId="77777777" w:rsidR="00DD186D" w:rsidRDefault="00000000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137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51"/>
      <w:gridCol w:w="4819"/>
    </w:tblGrid>
    <w:tr w:rsidR="00E56992" w14:paraId="47E14D9A" w14:textId="77777777" w:rsidTr="003E44EC">
      <w:trPr>
        <w:trHeight w:val="851"/>
      </w:trPr>
      <w:tc>
        <w:tcPr>
          <w:tcW w:w="6551" w:type="dxa"/>
        </w:tcPr>
        <w:p w14:paraId="0A60F936" w14:textId="7FD81243" w:rsidR="002172DA" w:rsidRDefault="003C40D7">
          <w:pPr>
            <w:spacing w:after="0" w:line="259" w:lineRule="auto"/>
            <w:ind w:left="0" w:right="6040" w:firstLine="0"/>
          </w:pPr>
          <w:r>
            <w:t xml:space="preserve">   </w:t>
          </w:r>
        </w:p>
        <w:tbl>
          <w:tblPr>
            <w:tblStyle w:val="Tabellrutenett"/>
            <w:tblW w:w="1148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740"/>
            <w:gridCol w:w="5742"/>
          </w:tblGrid>
          <w:tr w:rsidR="002172DA" w14:paraId="51D805BC" w14:textId="77777777" w:rsidTr="005B1B11">
            <w:trPr>
              <w:trHeight w:val="1265"/>
            </w:trPr>
            <w:tc>
              <w:tcPr>
                <w:tcW w:w="5740" w:type="dxa"/>
              </w:tcPr>
              <w:p w14:paraId="5C490511" w14:textId="7608F575" w:rsidR="002172DA" w:rsidRDefault="00175EC3" w:rsidP="00175EC3">
                <w:pPr>
                  <w:spacing w:after="0" w:line="259" w:lineRule="auto"/>
                  <w:ind w:left="0" w:right="6040" w:firstLine="0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2" behindDoc="0" locked="0" layoutInCell="1" allowOverlap="0" wp14:anchorId="53A76C54" wp14:editId="0B221680">
                      <wp:simplePos x="0" y="0"/>
                      <wp:positionH relativeFrom="page">
                        <wp:posOffset>327103</wp:posOffset>
                      </wp:positionH>
                      <wp:positionV relativeFrom="page">
                        <wp:posOffset>0</wp:posOffset>
                      </wp:positionV>
                      <wp:extent cx="2612136" cy="670560"/>
                      <wp:effectExtent l="0" t="0" r="0" b="0"/>
                      <wp:wrapSquare wrapText="bothSides"/>
                      <wp:docPr id="4629" name="Picture 462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629" name="Picture 462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12136" cy="6705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w:r>
              </w:p>
            </w:tc>
            <w:tc>
              <w:tcPr>
                <w:tcW w:w="5742" w:type="dxa"/>
              </w:tcPr>
              <w:p w14:paraId="7854373D" w14:textId="449A80BF" w:rsidR="002172DA" w:rsidRDefault="002172DA" w:rsidP="005B1B11">
                <w:pPr>
                  <w:spacing w:after="0" w:line="259" w:lineRule="auto"/>
                  <w:ind w:left="708" w:right="6040" w:firstLine="0"/>
                  <w:jc w:val="both"/>
                </w:pPr>
              </w:p>
            </w:tc>
          </w:tr>
        </w:tbl>
        <w:p w14:paraId="594F3766" w14:textId="26E4FB0C" w:rsidR="00E56992" w:rsidRDefault="00000000">
          <w:pPr>
            <w:spacing w:after="0" w:line="259" w:lineRule="auto"/>
            <w:ind w:left="0" w:right="6040" w:firstLine="0"/>
          </w:pPr>
        </w:p>
      </w:tc>
      <w:tc>
        <w:tcPr>
          <w:tcW w:w="4819" w:type="dxa"/>
        </w:tcPr>
        <w:p w14:paraId="4F0D2F6D" w14:textId="2CBC5AA8" w:rsidR="00E56992" w:rsidRDefault="003C40D7">
          <w:pPr>
            <w:spacing w:after="0" w:line="259" w:lineRule="auto"/>
            <w:ind w:left="0" w:right="6040" w:firstLine="0"/>
          </w:pPr>
          <w:r>
            <w:rPr>
              <w:noProof/>
            </w:rPr>
            <w:tab/>
          </w:r>
          <w:r w:rsidR="005B1B11">
            <w:rPr>
              <w:noProof/>
            </w:rPr>
            <w:drawing>
              <wp:inline distT="0" distB="0" distL="0" distR="0" wp14:anchorId="50EEA816" wp14:editId="6EB331A6">
                <wp:extent cx="2419350" cy="513276"/>
                <wp:effectExtent l="0" t="0" r="0" b="127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4182" cy="520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6AE117" w14:textId="6E921A54" w:rsidR="00871A53" w:rsidRDefault="00000000" w:rsidP="003E44EC">
    <w:pPr>
      <w:spacing w:after="0" w:line="259" w:lineRule="auto"/>
      <w:ind w:left="0" w:right="604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3C01"/>
    <w:multiLevelType w:val="hybridMultilevel"/>
    <w:tmpl w:val="0FC8AF18"/>
    <w:lvl w:ilvl="0" w:tplc="B46626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0897"/>
    <w:multiLevelType w:val="hybridMultilevel"/>
    <w:tmpl w:val="87287A66"/>
    <w:lvl w:ilvl="0" w:tplc="AD60D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A9918"/>
    <w:multiLevelType w:val="hybridMultilevel"/>
    <w:tmpl w:val="C1963188"/>
    <w:lvl w:ilvl="0" w:tplc="7F78BA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127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AE1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0C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C9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E0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A8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A9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505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C6A56"/>
    <w:multiLevelType w:val="hybridMultilevel"/>
    <w:tmpl w:val="BD60C150"/>
    <w:lvl w:ilvl="0" w:tplc="68028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07F4C"/>
    <w:multiLevelType w:val="hybridMultilevel"/>
    <w:tmpl w:val="D48C96D6"/>
    <w:lvl w:ilvl="0" w:tplc="300CB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C9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27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2D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E9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441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05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0B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428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C0DFC"/>
    <w:multiLevelType w:val="hybridMultilevel"/>
    <w:tmpl w:val="975045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38473">
    <w:abstractNumId w:val="2"/>
  </w:num>
  <w:num w:numId="2" w16cid:durableId="447240219">
    <w:abstractNumId w:val="4"/>
  </w:num>
  <w:num w:numId="3" w16cid:durableId="274799049">
    <w:abstractNumId w:val="5"/>
  </w:num>
  <w:num w:numId="4" w16cid:durableId="1580283965">
    <w:abstractNumId w:val="0"/>
  </w:num>
  <w:num w:numId="5" w16cid:durableId="982005218">
    <w:abstractNumId w:val="3"/>
  </w:num>
  <w:num w:numId="6" w16cid:durableId="1121415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F8"/>
    <w:rsid w:val="00011944"/>
    <w:rsid w:val="000148B4"/>
    <w:rsid w:val="00023DD7"/>
    <w:rsid w:val="00031758"/>
    <w:rsid w:val="0004445C"/>
    <w:rsid w:val="000547CD"/>
    <w:rsid w:val="00073FBD"/>
    <w:rsid w:val="0008279A"/>
    <w:rsid w:val="00082A32"/>
    <w:rsid w:val="00084F8A"/>
    <w:rsid w:val="00087AD3"/>
    <w:rsid w:val="000909AD"/>
    <w:rsid w:val="00100BA7"/>
    <w:rsid w:val="00110AB4"/>
    <w:rsid w:val="00117028"/>
    <w:rsid w:val="001343AD"/>
    <w:rsid w:val="00145214"/>
    <w:rsid w:val="00154FAD"/>
    <w:rsid w:val="00160201"/>
    <w:rsid w:val="00175EC3"/>
    <w:rsid w:val="001A18BD"/>
    <w:rsid w:val="001A3544"/>
    <w:rsid w:val="001A4DA7"/>
    <w:rsid w:val="001B21FC"/>
    <w:rsid w:val="001C1FDA"/>
    <w:rsid w:val="002172DA"/>
    <w:rsid w:val="002349D8"/>
    <w:rsid w:val="00266B20"/>
    <w:rsid w:val="00277482"/>
    <w:rsid w:val="0028126F"/>
    <w:rsid w:val="0028765A"/>
    <w:rsid w:val="00293367"/>
    <w:rsid w:val="002A109D"/>
    <w:rsid w:val="002A71D0"/>
    <w:rsid w:val="002C6E01"/>
    <w:rsid w:val="002E0DCA"/>
    <w:rsid w:val="002E6496"/>
    <w:rsid w:val="00304B5D"/>
    <w:rsid w:val="0031404F"/>
    <w:rsid w:val="0032038C"/>
    <w:rsid w:val="00323B52"/>
    <w:rsid w:val="00356023"/>
    <w:rsid w:val="00357711"/>
    <w:rsid w:val="0036787A"/>
    <w:rsid w:val="0037005D"/>
    <w:rsid w:val="003B730F"/>
    <w:rsid w:val="003C40D7"/>
    <w:rsid w:val="003E26BE"/>
    <w:rsid w:val="0040356C"/>
    <w:rsid w:val="00430F03"/>
    <w:rsid w:val="00444632"/>
    <w:rsid w:val="00444CF8"/>
    <w:rsid w:val="004475D5"/>
    <w:rsid w:val="004710C6"/>
    <w:rsid w:val="00471A7C"/>
    <w:rsid w:val="00471FC2"/>
    <w:rsid w:val="00484802"/>
    <w:rsid w:val="00487F66"/>
    <w:rsid w:val="004C573C"/>
    <w:rsid w:val="00523585"/>
    <w:rsid w:val="005343F5"/>
    <w:rsid w:val="0053635B"/>
    <w:rsid w:val="00542FD6"/>
    <w:rsid w:val="00550F5A"/>
    <w:rsid w:val="005775D5"/>
    <w:rsid w:val="005B1B11"/>
    <w:rsid w:val="00675E68"/>
    <w:rsid w:val="006A27EC"/>
    <w:rsid w:val="006D66E9"/>
    <w:rsid w:val="006E627D"/>
    <w:rsid w:val="006F1447"/>
    <w:rsid w:val="006F4EA9"/>
    <w:rsid w:val="006F6B41"/>
    <w:rsid w:val="00716953"/>
    <w:rsid w:val="00723DEA"/>
    <w:rsid w:val="00726D5C"/>
    <w:rsid w:val="00727D28"/>
    <w:rsid w:val="00802072"/>
    <w:rsid w:val="00835232"/>
    <w:rsid w:val="0083698D"/>
    <w:rsid w:val="00842112"/>
    <w:rsid w:val="00860578"/>
    <w:rsid w:val="00863479"/>
    <w:rsid w:val="00866095"/>
    <w:rsid w:val="008722D5"/>
    <w:rsid w:val="008B24EE"/>
    <w:rsid w:val="008E47A9"/>
    <w:rsid w:val="008F54DC"/>
    <w:rsid w:val="0091010F"/>
    <w:rsid w:val="00921C88"/>
    <w:rsid w:val="00942565"/>
    <w:rsid w:val="0096771C"/>
    <w:rsid w:val="009A38D7"/>
    <w:rsid w:val="009B7E54"/>
    <w:rsid w:val="009C066F"/>
    <w:rsid w:val="009D114A"/>
    <w:rsid w:val="009D3205"/>
    <w:rsid w:val="009D4E31"/>
    <w:rsid w:val="009E55D2"/>
    <w:rsid w:val="00A17C21"/>
    <w:rsid w:val="00A24985"/>
    <w:rsid w:val="00A44213"/>
    <w:rsid w:val="00A4789F"/>
    <w:rsid w:val="00A6285B"/>
    <w:rsid w:val="00A7678D"/>
    <w:rsid w:val="00A80A9D"/>
    <w:rsid w:val="00A92336"/>
    <w:rsid w:val="00A92FE9"/>
    <w:rsid w:val="00A93D37"/>
    <w:rsid w:val="00AE30DD"/>
    <w:rsid w:val="00AE42CE"/>
    <w:rsid w:val="00AF3458"/>
    <w:rsid w:val="00B046E9"/>
    <w:rsid w:val="00B109C7"/>
    <w:rsid w:val="00B270B8"/>
    <w:rsid w:val="00B305EF"/>
    <w:rsid w:val="00B500C0"/>
    <w:rsid w:val="00BA718A"/>
    <w:rsid w:val="00BC7BE2"/>
    <w:rsid w:val="00C1187F"/>
    <w:rsid w:val="00C22755"/>
    <w:rsid w:val="00C24FA2"/>
    <w:rsid w:val="00C35142"/>
    <w:rsid w:val="00C3581F"/>
    <w:rsid w:val="00C35DA9"/>
    <w:rsid w:val="00C65141"/>
    <w:rsid w:val="00C804F1"/>
    <w:rsid w:val="00C964E2"/>
    <w:rsid w:val="00CC0C68"/>
    <w:rsid w:val="00CE1959"/>
    <w:rsid w:val="00D03D91"/>
    <w:rsid w:val="00D155A6"/>
    <w:rsid w:val="00D2484D"/>
    <w:rsid w:val="00D249A8"/>
    <w:rsid w:val="00D32EF1"/>
    <w:rsid w:val="00D745FB"/>
    <w:rsid w:val="00D96CD0"/>
    <w:rsid w:val="00DC13BD"/>
    <w:rsid w:val="00DD3A97"/>
    <w:rsid w:val="00DF7704"/>
    <w:rsid w:val="00DF7A22"/>
    <w:rsid w:val="00E1180E"/>
    <w:rsid w:val="00E3552A"/>
    <w:rsid w:val="00E426AC"/>
    <w:rsid w:val="00E6306F"/>
    <w:rsid w:val="00E66875"/>
    <w:rsid w:val="00E816B2"/>
    <w:rsid w:val="00E84917"/>
    <w:rsid w:val="00E87E59"/>
    <w:rsid w:val="00EA3CEF"/>
    <w:rsid w:val="00EC3B77"/>
    <w:rsid w:val="00EC71F6"/>
    <w:rsid w:val="00ED0BAC"/>
    <w:rsid w:val="00ED50A8"/>
    <w:rsid w:val="00ED6D20"/>
    <w:rsid w:val="00EE1535"/>
    <w:rsid w:val="00EF13E0"/>
    <w:rsid w:val="00F3021C"/>
    <w:rsid w:val="00F675E4"/>
    <w:rsid w:val="00F96F93"/>
    <w:rsid w:val="00FB0E45"/>
    <w:rsid w:val="00FB6675"/>
    <w:rsid w:val="02ACB935"/>
    <w:rsid w:val="03D879C5"/>
    <w:rsid w:val="061B8442"/>
    <w:rsid w:val="08F59621"/>
    <w:rsid w:val="0DBF01B1"/>
    <w:rsid w:val="0EAA9246"/>
    <w:rsid w:val="10123786"/>
    <w:rsid w:val="11AA95A9"/>
    <w:rsid w:val="11D9AE1C"/>
    <w:rsid w:val="14DDCD0A"/>
    <w:rsid w:val="1756C12D"/>
    <w:rsid w:val="1E9FA128"/>
    <w:rsid w:val="1FA59B11"/>
    <w:rsid w:val="20FDA373"/>
    <w:rsid w:val="210DE94C"/>
    <w:rsid w:val="21355D00"/>
    <w:rsid w:val="24D0A258"/>
    <w:rsid w:val="25B9F685"/>
    <w:rsid w:val="2774D27D"/>
    <w:rsid w:val="28E436F2"/>
    <w:rsid w:val="29A998E0"/>
    <w:rsid w:val="2BFCCEBB"/>
    <w:rsid w:val="2C293809"/>
    <w:rsid w:val="2DACA9D1"/>
    <w:rsid w:val="2DB0C728"/>
    <w:rsid w:val="2DBD4699"/>
    <w:rsid w:val="2DE7AA6E"/>
    <w:rsid w:val="2E1FEE7A"/>
    <w:rsid w:val="30616F64"/>
    <w:rsid w:val="34FD6D3F"/>
    <w:rsid w:val="358451B5"/>
    <w:rsid w:val="3619C588"/>
    <w:rsid w:val="37873B3F"/>
    <w:rsid w:val="37C3161B"/>
    <w:rsid w:val="37F403B3"/>
    <w:rsid w:val="383A8752"/>
    <w:rsid w:val="38699FC5"/>
    <w:rsid w:val="38FB794D"/>
    <w:rsid w:val="3926C6A8"/>
    <w:rsid w:val="39B7B605"/>
    <w:rsid w:val="39D0DE62"/>
    <w:rsid w:val="3AF0BCEF"/>
    <w:rsid w:val="3BB7FEA2"/>
    <w:rsid w:val="3BEAE819"/>
    <w:rsid w:val="3D1EDD84"/>
    <w:rsid w:val="3E60DBCB"/>
    <w:rsid w:val="3EE50DED"/>
    <w:rsid w:val="42113C92"/>
    <w:rsid w:val="487F4B14"/>
    <w:rsid w:val="4A11A1CE"/>
    <w:rsid w:val="4AF9100A"/>
    <w:rsid w:val="4B8BD3EE"/>
    <w:rsid w:val="4C94E06B"/>
    <w:rsid w:val="4CA7185C"/>
    <w:rsid w:val="4D15131B"/>
    <w:rsid w:val="4D4F25CA"/>
    <w:rsid w:val="4DE01527"/>
    <w:rsid w:val="5086C68C"/>
    <w:rsid w:val="50FF6F86"/>
    <w:rsid w:val="5117B5E9"/>
    <w:rsid w:val="53BE674E"/>
    <w:rsid w:val="562AAEBE"/>
    <w:rsid w:val="5786F76D"/>
    <w:rsid w:val="5B9E4A56"/>
    <w:rsid w:val="5CA413C9"/>
    <w:rsid w:val="60A20D4D"/>
    <w:rsid w:val="6100B22F"/>
    <w:rsid w:val="617784EC"/>
    <w:rsid w:val="6313554D"/>
    <w:rsid w:val="64F0CD74"/>
    <w:rsid w:val="655F5A91"/>
    <w:rsid w:val="664D005B"/>
    <w:rsid w:val="6667FA62"/>
    <w:rsid w:val="6890DE2A"/>
    <w:rsid w:val="6940D91E"/>
    <w:rsid w:val="6B0C6AE5"/>
    <w:rsid w:val="6BA92E0B"/>
    <w:rsid w:val="6E43D0FE"/>
    <w:rsid w:val="6FDFA15F"/>
    <w:rsid w:val="712C20B4"/>
    <w:rsid w:val="719EC3D3"/>
    <w:rsid w:val="746D271D"/>
    <w:rsid w:val="7500DCE7"/>
    <w:rsid w:val="755E265B"/>
    <w:rsid w:val="76F9F6BC"/>
    <w:rsid w:val="78BA85FB"/>
    <w:rsid w:val="7994EB80"/>
    <w:rsid w:val="7AD3BD81"/>
    <w:rsid w:val="7BFCD5D4"/>
    <w:rsid w:val="7D693840"/>
    <w:rsid w:val="7DAAF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97FE"/>
  <w15:chartTrackingRefBased/>
  <w15:docId w15:val="{58DE3FCE-DD2E-3242-AA6B-24D631D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F8"/>
    <w:pPr>
      <w:spacing w:after="3" w:line="263" w:lineRule="auto"/>
      <w:ind w:left="10" w:right="233" w:hanging="10"/>
    </w:pPr>
    <w:rPr>
      <w:rFonts w:ascii="Calibri" w:eastAsia="Calibri" w:hAnsi="Calibri" w:cs="Calibri"/>
      <w:color w:val="3F3F3F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3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44CF8"/>
    <w:rPr>
      <w:color w:val="0563C1"/>
      <w:u w:val="single"/>
    </w:rPr>
  </w:style>
  <w:style w:type="table" w:styleId="Tabellrutenett">
    <w:name w:val="Table Grid"/>
    <w:basedOn w:val="Vanligtabell"/>
    <w:uiPriority w:val="39"/>
    <w:rsid w:val="00444CF8"/>
    <w:rPr>
      <w:rFonts w:eastAsiaTheme="minorEastAsia"/>
      <w:sz w:val="22"/>
      <w:szCs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4CF8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AF3458"/>
    <w:pPr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345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3458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235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86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63479"/>
    <w:rPr>
      <w:rFonts w:ascii="Calibri" w:eastAsia="Calibri" w:hAnsi="Calibri" w:cs="Calibri"/>
      <w:color w:val="3F3F3F"/>
      <w:sz w:val="22"/>
      <w:szCs w:val="22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863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63479"/>
    <w:rPr>
      <w:rFonts w:ascii="Calibri" w:eastAsia="Calibri" w:hAnsi="Calibri" w:cs="Calibri"/>
      <w:color w:val="3F3F3F"/>
      <w:sz w:val="22"/>
      <w:szCs w:val="22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25677e-e204-4637-b22f-954ebafefc8b">
      <Terms xmlns="http://schemas.microsoft.com/office/infopath/2007/PartnerControls"/>
    </lcf76f155ced4ddcb4097134ff3c332f>
    <TaxCatchAll xmlns="6d456677-2d6b-4a4c-b93c-0a35d02917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375557884E84A8EE1A3A4F86382E9" ma:contentTypeVersion="16" ma:contentTypeDescription="Opprett et nytt dokument." ma:contentTypeScope="" ma:versionID="def23b86785b3477ca6b9ad9af8516a9">
  <xsd:schema xmlns:xsd="http://www.w3.org/2001/XMLSchema" xmlns:xs="http://www.w3.org/2001/XMLSchema" xmlns:p="http://schemas.microsoft.com/office/2006/metadata/properties" xmlns:ns2="7dbee5eb-ea28-43dc-843f-cb3afd77dbcb" xmlns:ns3="ad25677e-e204-4637-b22f-954ebafefc8b" xmlns:ns4="6d456677-2d6b-4a4c-b93c-0a35d0291704" targetNamespace="http://schemas.microsoft.com/office/2006/metadata/properties" ma:root="true" ma:fieldsID="28f000212c4a9471442a8df43f36fb72" ns2:_="" ns3:_="" ns4:_="">
    <xsd:import namespace="7dbee5eb-ea28-43dc-843f-cb3afd77dbcb"/>
    <xsd:import namespace="ad25677e-e204-4637-b22f-954ebafefc8b"/>
    <xsd:import namespace="6d456677-2d6b-4a4c-b93c-0a35d02917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ee5eb-ea28-43dc-843f-cb3afd77db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5677e-e204-4637-b22f-954ebafef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11f38259-2803-424e-b20f-60f96a947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56677-2d6b-4a4c-b93c-0a35d029170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3824f3a-8ff1-410c-ba01-9e6848dbc67e}" ma:internalName="TaxCatchAll" ma:showField="CatchAllData" ma:web="6d456677-2d6b-4a4c-b93c-0a35d0291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F1767-B8B3-45EA-A921-F20E969E0530}">
  <ds:schemaRefs>
    <ds:schemaRef ds:uri="http://schemas.microsoft.com/office/2006/metadata/properties"/>
    <ds:schemaRef ds:uri="http://schemas.microsoft.com/office/infopath/2007/PartnerControls"/>
    <ds:schemaRef ds:uri="ad25677e-e204-4637-b22f-954ebafefc8b"/>
    <ds:schemaRef ds:uri="6d456677-2d6b-4a4c-b93c-0a35d0291704"/>
  </ds:schemaRefs>
</ds:datastoreItem>
</file>

<file path=customXml/itemProps2.xml><?xml version="1.0" encoding="utf-8"?>
<ds:datastoreItem xmlns:ds="http://schemas.openxmlformats.org/officeDocument/2006/customXml" ds:itemID="{558E2DC4-816D-4066-BF55-D98CE42AE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ee5eb-ea28-43dc-843f-cb3afd77dbcb"/>
    <ds:schemaRef ds:uri="ad25677e-e204-4637-b22f-954ebafefc8b"/>
    <ds:schemaRef ds:uri="6d456677-2d6b-4a4c-b93c-0a35d0291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EEAC9-CD54-455E-899B-7F5C53F2B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Nordskag</dc:creator>
  <cp:keywords/>
  <dc:description/>
  <cp:lastModifiedBy>Morten Nordskag</cp:lastModifiedBy>
  <cp:revision>2</cp:revision>
  <dcterms:created xsi:type="dcterms:W3CDTF">2022-09-26T19:16:00Z</dcterms:created>
  <dcterms:modified xsi:type="dcterms:W3CDTF">2022-09-26T19:16:00Z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0x010100926375557884E84A8EE1A3A4F86382E9</vt:lpwstr>
  </property>
  <property fmtid="{D5CDD505-2E9C-101B-9397-08002B2CF9AE}" pid="3" name="MediaServiceImageTags">
    <vt:lpwstr/>
  </property>
</Properties>
</file>